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C4" w:rsidRDefault="00A22828">
      <w:r>
        <w:rPr>
          <w:noProof/>
          <w:lang w:val="en-US"/>
        </w:rPr>
        <w:drawing>
          <wp:inline distT="0" distB="0" distL="0" distR="0">
            <wp:extent cx="2046605" cy="914400"/>
            <wp:effectExtent l="0" t="0" r="0" b="0"/>
            <wp:docPr id="4"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605" cy="914400"/>
                    </a:xfrm>
                    <a:prstGeom prst="rect">
                      <a:avLst/>
                    </a:prstGeom>
                    <a:noFill/>
                    <a:ln>
                      <a:noFill/>
                    </a:ln>
                  </pic:spPr>
                </pic:pic>
              </a:graphicData>
            </a:graphic>
          </wp:inline>
        </w:drawing>
      </w:r>
    </w:p>
    <w:p w:rsidR="00543AC4" w:rsidRPr="009176C2" w:rsidRDefault="00543AC4" w:rsidP="002F561D"/>
    <w:p w:rsidR="00543AC4" w:rsidRPr="00BD26C5" w:rsidRDefault="00A22828" w:rsidP="002F561D">
      <w:pPr>
        <w:rPr>
          <w:lang w:val="es-AR"/>
        </w:rPr>
      </w:pPr>
      <w:r>
        <w:rPr>
          <w:noProof/>
          <w:lang w:val="en-US"/>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119379</wp:posOffset>
                </wp:positionV>
                <wp:extent cx="6126480" cy="0"/>
                <wp:effectExtent l="0" t="19050" r="762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5GEw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Q2cG40oIqNXWhtroSb2YZ02/O6R03RG155Hh69lAWhYykjcpYeMM4O+Gz5pBDDl4Hdt0&#10;am0fIKEB6BTVON/U4CePKBwW2azIFyAaHX0JKcdEY53/xHWPglFhCZwjMDk+Ox+IkHIMCfcovRFS&#10;RrGlQkOFZ4v5wzxmOC0FC94Q5+x+V0uLjiTMS/xiWeC5D7P6oFhE6zhh66vtiZAXG26XKuBBLcDn&#10;al0G4sdj+rherBf5JJ8V60meNs3k46bOJ8Ume5g3H5q6brKfgVqWl51gjKvAbhzOLP878a/P5DJW&#10;t/G89SF5ix4bBmTHfyQdxQz6XSZhp9l5a0eRYR5j8PXthIG/34N9/8JXvwA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raquRhMC&#10;AAApBAAADgAAAAAAAAAAAAAAAAAuAgAAZHJzL2Uyb0RvYy54bWxQSwECLQAUAAYACAAAACEAz3Ue&#10;yNkAAAAGAQAADwAAAAAAAAAAAAAAAABtBAAAZHJzL2Rvd25yZXYueG1sUEsFBgAAAAAEAAQA8wAA&#10;AHMFAAAAAA==&#10;" o:allowincell="f" strokeweight="2.25pt"/>
            </w:pict>
          </mc:Fallback>
        </mc:AlternateContent>
      </w:r>
    </w:p>
    <w:p w:rsidR="00543AC4" w:rsidRPr="00BD26C5" w:rsidRDefault="00543AC4" w:rsidP="002F561D">
      <w:pPr>
        <w:rPr>
          <w:b/>
          <w:lang w:val="es-AR"/>
        </w:rPr>
      </w:pPr>
    </w:p>
    <w:p w:rsidR="00543AC4" w:rsidRPr="00BD26C5" w:rsidRDefault="00543AC4" w:rsidP="002F561D">
      <w:pPr>
        <w:jc w:val="center"/>
        <w:rPr>
          <w:b/>
          <w:sz w:val="36"/>
          <w:szCs w:val="36"/>
          <w:lang w:val="es-AR"/>
        </w:rPr>
      </w:pPr>
    </w:p>
    <w:p w:rsidR="00543AC4" w:rsidRPr="00BD26C5" w:rsidRDefault="00543AC4" w:rsidP="002F561D">
      <w:pPr>
        <w:jc w:val="center"/>
        <w:rPr>
          <w:b/>
          <w:sz w:val="28"/>
          <w:lang w:val="es-AR"/>
        </w:rPr>
      </w:pPr>
      <w:r>
        <w:rPr>
          <w:b/>
          <w:bCs/>
          <w:sz w:val="28"/>
          <w:szCs w:val="28"/>
          <w:lang w:val="es-ES" w:eastAsia="es-ES"/>
        </w:rPr>
        <w:t>Fondo de Población de las Naciones Unidas</w:t>
      </w:r>
    </w:p>
    <w:p w:rsidR="00543AC4" w:rsidRPr="00BD26C5" w:rsidRDefault="00543AC4" w:rsidP="002F561D">
      <w:pPr>
        <w:jc w:val="center"/>
        <w:rPr>
          <w:b/>
          <w:sz w:val="28"/>
          <w:lang w:val="es-AR"/>
        </w:rPr>
      </w:pPr>
    </w:p>
    <w:p w:rsidR="00543AC4" w:rsidRPr="00BD26C5" w:rsidRDefault="00543AC4" w:rsidP="002F561D">
      <w:pPr>
        <w:jc w:val="center"/>
        <w:rPr>
          <w:b/>
          <w:sz w:val="28"/>
          <w:lang w:val="es-AR"/>
        </w:rPr>
      </w:pPr>
    </w:p>
    <w:p w:rsidR="00543AC4" w:rsidRPr="00BD26C5" w:rsidRDefault="00543AC4" w:rsidP="002F561D">
      <w:pPr>
        <w:jc w:val="center"/>
        <w:rPr>
          <w:b/>
          <w:sz w:val="28"/>
          <w:lang w:val="es-AR"/>
        </w:rPr>
      </w:pPr>
    </w:p>
    <w:p w:rsidR="00543AC4" w:rsidRPr="00BD26C5" w:rsidRDefault="00543AC4" w:rsidP="002F561D">
      <w:pPr>
        <w:jc w:val="center"/>
        <w:rPr>
          <w:b/>
          <w:sz w:val="36"/>
          <w:szCs w:val="36"/>
          <w:lang w:val="es-AR"/>
        </w:rPr>
      </w:pPr>
      <w:r>
        <w:rPr>
          <w:b/>
          <w:bCs/>
          <w:sz w:val="36"/>
          <w:szCs w:val="36"/>
          <w:lang w:val="es-ES" w:eastAsia="es-ES"/>
        </w:rPr>
        <w:t>Anexo 1</w:t>
      </w:r>
    </w:p>
    <w:p w:rsidR="00543AC4" w:rsidRPr="00BD26C5" w:rsidRDefault="00543AC4" w:rsidP="002F561D">
      <w:pPr>
        <w:jc w:val="center"/>
        <w:rPr>
          <w:b/>
          <w:sz w:val="36"/>
          <w:szCs w:val="36"/>
          <w:lang w:val="es-AR"/>
        </w:rPr>
      </w:pPr>
      <w:r>
        <w:rPr>
          <w:b/>
          <w:bCs/>
          <w:sz w:val="36"/>
          <w:szCs w:val="36"/>
          <w:lang w:val="es-ES" w:eastAsia="es-ES"/>
        </w:rPr>
        <w:t>Marco integrado de resultados</w:t>
      </w:r>
    </w:p>
    <w:p w:rsidR="00543AC4" w:rsidRPr="00BD26C5" w:rsidRDefault="00543AC4" w:rsidP="002F561D">
      <w:pPr>
        <w:jc w:val="center"/>
        <w:rPr>
          <w:b/>
          <w:sz w:val="32"/>
          <w:szCs w:val="32"/>
          <w:lang w:val="es-AR"/>
        </w:rPr>
      </w:pPr>
    </w:p>
    <w:p w:rsidR="00543AC4" w:rsidRPr="00BD26C5" w:rsidRDefault="00543AC4" w:rsidP="002F561D">
      <w:pPr>
        <w:jc w:val="center"/>
        <w:rPr>
          <w:b/>
          <w:sz w:val="28"/>
          <w:lang w:val="es-AR"/>
        </w:rPr>
      </w:pPr>
    </w:p>
    <w:p w:rsidR="00543AC4" w:rsidRPr="00BD26C5" w:rsidRDefault="00543AC4" w:rsidP="002F561D">
      <w:pPr>
        <w:jc w:val="center"/>
        <w:rPr>
          <w:b/>
          <w:sz w:val="24"/>
          <w:szCs w:val="24"/>
          <w:lang w:val="es-AR"/>
        </w:rPr>
      </w:pPr>
      <w:r>
        <w:rPr>
          <w:b/>
          <w:bCs/>
          <w:sz w:val="24"/>
          <w:szCs w:val="24"/>
          <w:lang w:val="es-ES" w:eastAsia="es-ES"/>
        </w:rPr>
        <w:t>El plan estratégico del UNFPA, 2014-2017: Informe del Director Ejecutivo (DP/FPA/2013/12)</w:t>
      </w:r>
    </w:p>
    <w:p w:rsidR="00543AC4" w:rsidRPr="00BD26C5" w:rsidRDefault="00543AC4" w:rsidP="002F561D">
      <w:pPr>
        <w:jc w:val="center"/>
        <w:rPr>
          <w:b/>
          <w:sz w:val="24"/>
          <w:szCs w:val="24"/>
          <w:lang w:val="es-AR"/>
        </w:rPr>
      </w:pPr>
    </w:p>
    <w:p w:rsidR="00543AC4" w:rsidRPr="00BD26C5" w:rsidRDefault="00543AC4" w:rsidP="002F561D">
      <w:pPr>
        <w:ind w:left="245" w:firstLine="475"/>
        <w:jc w:val="center"/>
        <w:rPr>
          <w:sz w:val="28"/>
          <w:lang w:val="es-AR"/>
        </w:rPr>
      </w:pPr>
    </w:p>
    <w:p w:rsidR="00543AC4" w:rsidRPr="00BD26C5" w:rsidRDefault="00543AC4" w:rsidP="002F561D">
      <w:pPr>
        <w:rPr>
          <w:b/>
          <w:sz w:val="24"/>
          <w:szCs w:val="24"/>
          <w:lang w:val="es-AR"/>
        </w:rPr>
      </w:pPr>
    </w:p>
    <w:p w:rsidR="00543AC4" w:rsidRPr="00BD26C5" w:rsidRDefault="00543AC4" w:rsidP="002F561D">
      <w:pPr>
        <w:jc w:val="center"/>
        <w:rPr>
          <w:b/>
          <w:sz w:val="24"/>
          <w:szCs w:val="24"/>
          <w:lang w:val="es-AR"/>
        </w:rPr>
      </w:pPr>
    </w:p>
    <w:p w:rsidR="00543AC4" w:rsidRPr="00BD26C5" w:rsidRDefault="00543AC4" w:rsidP="002F561D">
      <w:pPr>
        <w:jc w:val="center"/>
        <w:rPr>
          <w:b/>
          <w:sz w:val="22"/>
          <w:szCs w:val="22"/>
          <w:lang w:val="es-AR"/>
        </w:rPr>
      </w:pPr>
    </w:p>
    <w:p w:rsidR="00543AC4" w:rsidRPr="00BD26C5" w:rsidRDefault="00A22828" w:rsidP="002F561D">
      <w:pPr>
        <w:ind w:left="360"/>
        <w:jc w:val="center"/>
        <w:rPr>
          <w:b/>
          <w:color w:val="000000"/>
          <w:sz w:val="22"/>
          <w:szCs w:val="22"/>
          <w:lang w:val="es-AR"/>
        </w:rPr>
      </w:pPr>
      <w:r>
        <w:rPr>
          <w:noProof/>
          <w:lang w:val="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9525</wp:posOffset>
                </wp:positionV>
                <wp:extent cx="5870575" cy="1356995"/>
                <wp:effectExtent l="9525" t="9525" r="6350"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356995"/>
                        </a:xfrm>
                        <a:prstGeom prst="rect">
                          <a:avLst/>
                        </a:prstGeom>
                        <a:solidFill>
                          <a:srgbClr val="FFFFFF"/>
                        </a:solidFill>
                        <a:ln w="9525">
                          <a:solidFill>
                            <a:srgbClr val="000000"/>
                          </a:solidFill>
                          <a:miter lim="800000"/>
                          <a:headEnd/>
                          <a:tailEnd/>
                        </a:ln>
                      </wps:spPr>
                      <wps:txbx>
                        <w:txbxContent>
                          <w:p w:rsidR="00543AC4" w:rsidRDefault="00543AC4" w:rsidP="002F561D">
                            <w:pPr>
                              <w:rPr>
                                <w:i/>
                              </w:rPr>
                            </w:pPr>
                          </w:p>
                          <w:p w:rsidR="00543AC4" w:rsidRPr="005144F6" w:rsidRDefault="00543AC4" w:rsidP="002F561D">
                            <w:pPr>
                              <w:rPr>
                                <w:i/>
                                <w:sz w:val="22"/>
                                <w:szCs w:val="22"/>
                                <w:lang w:val="es-CO"/>
                              </w:rPr>
                            </w:pPr>
                            <w:r>
                              <w:rPr>
                                <w:i/>
                                <w:iCs/>
                                <w:sz w:val="22"/>
                                <w:szCs w:val="22"/>
                                <w:lang w:val="es-ES" w:eastAsia="es-ES"/>
                              </w:rPr>
                              <w:t>Reseña</w:t>
                            </w:r>
                          </w:p>
                          <w:p w:rsidR="00543AC4" w:rsidRPr="005144F6" w:rsidRDefault="00543AC4" w:rsidP="002F561D">
                            <w:pPr>
                              <w:rPr>
                                <w:i/>
                                <w:sz w:val="22"/>
                                <w:szCs w:val="22"/>
                                <w:lang w:val="es-CO"/>
                              </w:rPr>
                            </w:pPr>
                          </w:p>
                          <w:p w:rsidR="00543AC4" w:rsidRPr="00BD26C5" w:rsidRDefault="00543AC4" w:rsidP="002F561D">
                            <w:pPr>
                              <w:ind w:left="360" w:right="660" w:firstLine="540"/>
                              <w:jc w:val="both"/>
                              <w:rPr>
                                <w:sz w:val="22"/>
                                <w:szCs w:val="22"/>
                                <w:lang w:val="es-AR"/>
                              </w:rPr>
                            </w:pPr>
                            <w:r>
                              <w:rPr>
                                <w:sz w:val="22"/>
                                <w:szCs w:val="22"/>
                                <w:lang w:val="es-ES" w:eastAsia="es-ES"/>
                              </w:rPr>
                              <w:t xml:space="preserve">Este documento presenta el anexo 1 (el marco integrado de resultados) del plan estratégico del UNFPA para el período 2014-2017. </w:t>
                            </w:r>
                            <w:r>
                              <w:rPr>
                                <w:color w:val="000000"/>
                                <w:sz w:val="22"/>
                                <w:szCs w:val="22"/>
                                <w:lang w:val="es-ES" w:eastAsia="es-ES"/>
                              </w:rPr>
                              <w:t>Este anexo incluye los indicadores, las líneas de base y los objetivos que establecen los resultados que el UNFPA procura obtener para el período 2014-2017.</w:t>
                            </w:r>
                          </w:p>
                          <w:p w:rsidR="00543AC4" w:rsidRPr="00BD26C5" w:rsidRDefault="00543AC4" w:rsidP="002F561D">
                            <w:pPr>
                              <w:ind w:left="720" w:right="660"/>
                              <w:jc w:val="both"/>
                              <w:rPr>
                                <w:lang w:val="es-AR"/>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75pt;width:462.25pt;height:106.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JMKgIAAFEEAAAOAAAAZHJzL2Uyb0RvYy54bWysVNuO2yAQfa/Uf0C8N3bSeJNYcVbbbFNV&#10;2l6k3X7AGOMYFQMFEjv9+h2wk6a3l6p+QAwMZ86cmfH6tm8lOXLrhFYFnU5SSrhiuhJqX9AvT7tX&#10;S0qcB1WB1IoX9MQdvd28fLHuTM5nutGy4pYgiHJ5ZwraeG/yJHGs4S24iTZc4WWtbQseTbtPKgsd&#10;orcymaXpTdJpWxmrGXcOT++HS7qJ+HXNmf9U1457IguK3HxcbVzLsCabNeR7C6YRbKQB/8CiBaEw&#10;6AXqHjyQgxW/QbWCWe107SdMt4mua8F4zAGzmaa/ZPPYgOExFxTHmYtM7v/Bso/Hz5aIqqAZJQpa&#10;LNET7z15o3uyCOp0xuXo9GjQzfd4jFWOmTrzoNlXR5TeNqD2/M5a3TUcKmQ3DS+Tq6cDjgsgZfdB&#10;VxgGDl5HoL62bZAOxSCIjlU6XSoTqDA8zJaLNFsgRYZ309fZzWqVxRiQn58b6/w7rlsSNgW1WPoI&#10;D8cH5wMdyM8uIZrTUlQ7IWU07L7cSkuOgG2yi9+I/pObVKQr6CqbZYMCf4VI4/cniFZ47Hcp2oIu&#10;L06QB93eqip2owchhz1SlmoUMmg3qOj7sh8LU+rqhJJaPfQ1ziFuGm2/U9JhTxfUfTuA5ZTI9wrL&#10;sprO52EIojHPFjM07PVNeX0DiiFUQT0lw3brh8E5GCv2DUY6N8IdlnInosih5gOrkTf2bdR+nLEw&#10;GNd29PrxJ9g8AwAA//8DAFBLAwQUAAYACAAAACEAEB0y8twAAAAGAQAADwAAAGRycy9kb3ducmV2&#10;LnhtbEyPQU/DMAyF70j8h8hI3Fi6iiIoTSfEtDNjICFuaeI11RqnNFnX8esxJ7j5+Vnvfa5Ws+/F&#10;hGPsAilYLjIQSCbYjloF72+bm3sQMWmyug+ECs4YYVVfXlS6tOFErzjtUis4hGKpFbiUhlLKaBx6&#10;HRdhQGJvH0avE8uxlXbUJw73vcyz7E563RE3OD3gs0Nz2B29grjefg1mv20Ozp6/X9ZTYT42n0pd&#10;X81PjyASzunvGH7xGR1qZmrCkWwUvQJ+JPG2AMHmQ37LQ6MgXxY5yLqS//HrHwAAAP//AwBQSwEC&#10;LQAUAAYACAAAACEAtoM4kv4AAADhAQAAEwAAAAAAAAAAAAAAAAAAAAAAW0NvbnRlbnRfVHlwZXNd&#10;LnhtbFBLAQItABQABgAIAAAAIQA4/SH/1gAAAJQBAAALAAAAAAAAAAAAAAAAAC8BAABfcmVscy8u&#10;cmVsc1BLAQItABQABgAIAAAAIQD8BoJMKgIAAFEEAAAOAAAAAAAAAAAAAAAAAC4CAABkcnMvZTJv&#10;RG9jLnhtbFBLAQItABQABgAIAAAAIQAQHTLy3AAAAAYBAAAPAAAAAAAAAAAAAAAAAIQEAABkcnMv&#10;ZG93bnJldi54bWxQSwUGAAAAAAQABADzAAAAjQUAAAAA&#10;">
                <v:textbox style="mso-fit-shape-to-text:t">
                  <w:txbxContent>
                    <w:p w:rsidR="00543AC4" w:rsidRDefault="00543AC4" w:rsidP="002F561D">
                      <w:pPr>
                        <w:rPr>
                          <w:i/>
                        </w:rPr>
                      </w:pPr>
                    </w:p>
                    <w:p w:rsidR="00543AC4" w:rsidRPr="005144F6" w:rsidRDefault="00543AC4" w:rsidP="002F561D">
                      <w:pPr>
                        <w:rPr>
                          <w:i/>
                          <w:sz w:val="22"/>
                          <w:szCs w:val="22"/>
                          <w:lang w:val="es-CO"/>
                        </w:rPr>
                      </w:pPr>
                      <w:r>
                        <w:rPr>
                          <w:i/>
                          <w:iCs/>
                          <w:sz w:val="22"/>
                          <w:szCs w:val="22"/>
                          <w:lang w:val="es-ES" w:eastAsia="es-ES"/>
                        </w:rPr>
                        <w:t>Reseña</w:t>
                      </w:r>
                    </w:p>
                    <w:p w:rsidR="00543AC4" w:rsidRPr="005144F6" w:rsidRDefault="00543AC4" w:rsidP="002F561D">
                      <w:pPr>
                        <w:rPr>
                          <w:i/>
                          <w:sz w:val="22"/>
                          <w:szCs w:val="22"/>
                          <w:lang w:val="es-CO"/>
                        </w:rPr>
                      </w:pPr>
                    </w:p>
                    <w:p w:rsidR="00543AC4" w:rsidRPr="00BD26C5" w:rsidRDefault="00543AC4" w:rsidP="002F561D">
                      <w:pPr>
                        <w:ind w:left="360" w:right="660" w:firstLine="540"/>
                        <w:jc w:val="both"/>
                        <w:rPr>
                          <w:sz w:val="22"/>
                          <w:szCs w:val="22"/>
                          <w:lang w:val="es-AR"/>
                        </w:rPr>
                      </w:pPr>
                      <w:r>
                        <w:rPr>
                          <w:sz w:val="22"/>
                          <w:szCs w:val="22"/>
                          <w:lang w:val="es-ES" w:eastAsia="es-ES"/>
                        </w:rPr>
                        <w:t xml:space="preserve">Este documento presenta el anexo 1 (el marco integrado de resultados) del plan estratégico del UNFPA para el período 2014-2017. </w:t>
                      </w:r>
                      <w:r>
                        <w:rPr>
                          <w:color w:val="000000"/>
                          <w:sz w:val="22"/>
                          <w:szCs w:val="22"/>
                          <w:lang w:val="es-ES" w:eastAsia="es-ES"/>
                        </w:rPr>
                        <w:t>Este anexo incluye los indicadores, las líneas de base y los objetivos que establecen los resultados que el UNFPA procura obtener para el período 2014-2017.</w:t>
                      </w:r>
                    </w:p>
                    <w:p w:rsidR="00543AC4" w:rsidRPr="00BD26C5" w:rsidRDefault="00543AC4" w:rsidP="002F561D">
                      <w:pPr>
                        <w:ind w:left="720" w:right="660"/>
                        <w:jc w:val="both"/>
                        <w:rPr>
                          <w:lang w:val="es-AR"/>
                        </w:rPr>
                      </w:pPr>
                    </w:p>
                  </w:txbxContent>
                </v:textbox>
              </v:shape>
            </w:pict>
          </mc:Fallback>
        </mc:AlternateContent>
      </w:r>
    </w:p>
    <w:p w:rsidR="00543AC4" w:rsidRDefault="00543AC4" w:rsidP="002F561D">
      <w:pPr>
        <w:rPr>
          <w:sz w:val="28"/>
          <w:szCs w:val="28"/>
        </w:rPr>
      </w:pPr>
      <w:r>
        <w:rPr>
          <w:b/>
          <w:bCs/>
          <w:color w:val="000000"/>
          <w:sz w:val="22"/>
          <w:szCs w:val="22"/>
          <w:lang w:val="es-ES" w:eastAsia="es-ES"/>
        </w:rPr>
        <w:br w:type="page"/>
      </w:r>
      <w:r>
        <w:rPr>
          <w:sz w:val="28"/>
          <w:szCs w:val="28"/>
          <w:lang w:val="es-ES" w:eastAsia="es-ES"/>
        </w:rPr>
        <w:lastRenderedPageBreak/>
        <w:t>Contenido</w:t>
      </w:r>
    </w:p>
    <w:p w:rsidR="00543AC4" w:rsidRDefault="00543AC4" w:rsidP="002F561D">
      <w:pPr>
        <w:rPr>
          <w:sz w:val="28"/>
          <w:szCs w:val="28"/>
        </w:rPr>
      </w:pPr>
    </w:p>
    <w:p w:rsidR="00543AC4" w:rsidRPr="009176C2" w:rsidRDefault="00543AC4" w:rsidP="002F561D">
      <w:pPr>
        <w:rPr>
          <w:sz w:val="28"/>
          <w:szCs w:val="28"/>
        </w:rPr>
      </w:pPr>
    </w:p>
    <w:p w:rsidR="00543AC4" w:rsidRPr="009176C2" w:rsidRDefault="00543AC4" w:rsidP="002F561D">
      <w:pPr>
        <w:ind w:left="360"/>
        <w:jc w:val="right"/>
        <w:rPr>
          <w:i/>
          <w:sz w:val="18"/>
          <w:szCs w:val="18"/>
        </w:rPr>
      </w:pPr>
      <w:r>
        <w:rPr>
          <w:i/>
          <w:iCs/>
          <w:sz w:val="18"/>
          <w:szCs w:val="18"/>
          <w:lang w:val="es-ES" w:eastAsia="es-ES"/>
        </w:rPr>
        <w:t>Página</w:t>
      </w:r>
    </w:p>
    <w:p w:rsidR="00543AC4" w:rsidRPr="009176C2" w:rsidRDefault="00543AC4" w:rsidP="002F561D">
      <w:pPr>
        <w:ind w:left="360"/>
        <w:jc w:val="center"/>
        <w:rPr>
          <w:u w:val="single"/>
        </w:rPr>
      </w:pPr>
    </w:p>
    <w:p w:rsidR="00543AC4" w:rsidRDefault="00543AC4">
      <w:pPr>
        <w:pStyle w:val="TOC1"/>
        <w:rPr>
          <w:rFonts w:ascii="Calibri" w:hAnsi="Calibri"/>
          <w:sz w:val="22"/>
          <w:szCs w:val="22"/>
          <w:lang w:val="es-AR" w:eastAsia="es-AR"/>
        </w:rPr>
      </w:pPr>
      <w:r>
        <w:fldChar w:fldCharType="begin"/>
      </w:r>
      <w:r>
        <w:instrText xml:space="preserve"> TOC \o "1-2" \h \z \u </w:instrText>
      </w:r>
      <w:r>
        <w:fldChar w:fldCharType="separate"/>
      </w:r>
      <w:hyperlink w:anchor="_Toc364061196" w:history="1">
        <w:r w:rsidRPr="00DC3DC9">
          <w:rPr>
            <w:rStyle w:val="Hyperlink"/>
          </w:rPr>
          <w:t>I.</w:t>
        </w:r>
        <w:r>
          <w:rPr>
            <w:rFonts w:ascii="Calibri" w:hAnsi="Calibri"/>
            <w:sz w:val="22"/>
            <w:szCs w:val="22"/>
            <w:lang w:val="es-AR" w:eastAsia="es-AR"/>
          </w:rPr>
          <w:tab/>
        </w:r>
        <w:r w:rsidRPr="00DC3DC9">
          <w:rPr>
            <w:rStyle w:val="Hyperlink"/>
            <w:bCs/>
            <w:lang w:val="es-ES" w:eastAsia="es-ES"/>
          </w:rPr>
          <w:t>Introducción</w:t>
        </w:r>
        <w:r>
          <w:rPr>
            <w:webHidden/>
          </w:rPr>
          <w:tab/>
        </w:r>
        <w:r>
          <w:rPr>
            <w:webHidden/>
          </w:rPr>
          <w:fldChar w:fldCharType="begin"/>
        </w:r>
        <w:r>
          <w:rPr>
            <w:webHidden/>
          </w:rPr>
          <w:instrText xml:space="preserve"> PAGEREF _Toc364061196 \h </w:instrText>
        </w:r>
        <w:r>
          <w:rPr>
            <w:webHidden/>
          </w:rPr>
        </w:r>
        <w:r>
          <w:rPr>
            <w:webHidden/>
          </w:rPr>
          <w:fldChar w:fldCharType="separate"/>
        </w:r>
        <w:r>
          <w:rPr>
            <w:webHidden/>
          </w:rPr>
          <w:t>3</w:t>
        </w:r>
        <w:r>
          <w:rPr>
            <w:webHidden/>
          </w:rPr>
          <w:fldChar w:fldCharType="end"/>
        </w:r>
      </w:hyperlink>
    </w:p>
    <w:p w:rsidR="00543AC4" w:rsidRDefault="00DA238A">
      <w:pPr>
        <w:pStyle w:val="TOC1"/>
        <w:rPr>
          <w:rFonts w:ascii="Calibri" w:hAnsi="Calibri"/>
          <w:sz w:val="22"/>
          <w:szCs w:val="22"/>
          <w:lang w:val="es-AR" w:eastAsia="es-AR"/>
        </w:rPr>
      </w:pPr>
      <w:hyperlink w:anchor="_Toc364061197" w:history="1">
        <w:r w:rsidR="00543AC4" w:rsidRPr="00DC3DC9">
          <w:rPr>
            <w:rStyle w:val="Hyperlink"/>
          </w:rPr>
          <w:t>II.</w:t>
        </w:r>
        <w:r w:rsidR="00543AC4">
          <w:rPr>
            <w:rFonts w:ascii="Calibri" w:hAnsi="Calibri"/>
            <w:sz w:val="22"/>
            <w:szCs w:val="22"/>
            <w:lang w:val="es-AR" w:eastAsia="es-AR"/>
          </w:rPr>
          <w:tab/>
        </w:r>
        <w:r w:rsidR="00543AC4" w:rsidRPr="00DC3DC9">
          <w:rPr>
            <w:rStyle w:val="Hyperlink"/>
            <w:bCs/>
            <w:lang w:val="es-ES" w:eastAsia="es-ES"/>
          </w:rPr>
          <w:t>Marco integrado de resultados</w:t>
        </w:r>
        <w:r w:rsidR="00543AC4">
          <w:rPr>
            <w:webHidden/>
          </w:rPr>
          <w:tab/>
        </w:r>
        <w:r w:rsidR="00543AC4">
          <w:rPr>
            <w:webHidden/>
          </w:rPr>
          <w:fldChar w:fldCharType="begin"/>
        </w:r>
        <w:r w:rsidR="00543AC4">
          <w:rPr>
            <w:webHidden/>
          </w:rPr>
          <w:instrText xml:space="preserve"> PAGEREF _Toc364061197 \h </w:instrText>
        </w:r>
        <w:r w:rsidR="00543AC4">
          <w:rPr>
            <w:webHidden/>
          </w:rPr>
        </w:r>
        <w:r w:rsidR="00543AC4">
          <w:rPr>
            <w:webHidden/>
          </w:rPr>
          <w:fldChar w:fldCharType="separate"/>
        </w:r>
        <w:r w:rsidR="00543AC4">
          <w:rPr>
            <w:webHidden/>
          </w:rPr>
          <w:t>7</w:t>
        </w:r>
        <w:r w:rsidR="00543AC4">
          <w:rPr>
            <w:webHidden/>
          </w:rPr>
          <w:fldChar w:fldCharType="end"/>
        </w:r>
      </w:hyperlink>
    </w:p>
    <w:p w:rsidR="00543AC4" w:rsidRPr="009176C2" w:rsidRDefault="00543AC4" w:rsidP="002F561D">
      <w:r>
        <w:fldChar w:fldCharType="end"/>
      </w:r>
    </w:p>
    <w:p w:rsidR="00543AC4" w:rsidRPr="009176C2" w:rsidRDefault="00543AC4" w:rsidP="002F561D">
      <w:pPr>
        <w:tabs>
          <w:tab w:val="left" w:pos="1080"/>
          <w:tab w:val="left" w:pos="1296"/>
          <w:tab w:val="left" w:pos="1728"/>
          <w:tab w:val="left" w:pos="2160"/>
          <w:tab w:val="right" w:leader="dot" w:pos="9360"/>
        </w:tabs>
        <w:ind w:left="540"/>
        <w:jc w:val="both"/>
        <w:rPr>
          <w:b/>
        </w:rPr>
      </w:pPr>
    </w:p>
    <w:p w:rsidR="00543AC4" w:rsidRPr="009176C2" w:rsidRDefault="00543AC4" w:rsidP="002F561D">
      <w:pPr>
        <w:tabs>
          <w:tab w:val="left" w:pos="1080"/>
          <w:tab w:val="left" w:pos="1296"/>
          <w:tab w:val="left" w:pos="1728"/>
          <w:tab w:val="left" w:pos="2160"/>
          <w:tab w:val="right" w:leader="dot" w:pos="9360"/>
        </w:tabs>
        <w:ind w:left="540"/>
        <w:jc w:val="center"/>
        <w:rPr>
          <w:b/>
          <w:u w:val="single"/>
        </w:rPr>
      </w:pPr>
    </w:p>
    <w:p w:rsidR="00543AC4" w:rsidRPr="009E5D7B" w:rsidRDefault="00543AC4" w:rsidP="002F561D">
      <w:pPr>
        <w:pStyle w:val="Heading1"/>
        <w:numPr>
          <w:ilvl w:val="0"/>
          <w:numId w:val="4"/>
        </w:numPr>
      </w:pPr>
      <w:r>
        <w:rPr>
          <w:bCs/>
          <w:sz w:val="22"/>
          <w:szCs w:val="22"/>
          <w:lang w:val="es-ES" w:eastAsia="es-ES"/>
        </w:rPr>
        <w:br w:type="page"/>
      </w:r>
      <w:bookmarkStart w:id="0" w:name="_Toc364061196"/>
      <w:r>
        <w:rPr>
          <w:bCs/>
          <w:szCs w:val="28"/>
          <w:lang w:val="es-ES" w:eastAsia="es-ES"/>
        </w:rPr>
        <w:lastRenderedPageBreak/>
        <w:t>Introducción</w:t>
      </w:r>
      <w:bookmarkEnd w:id="0"/>
    </w:p>
    <w:p w:rsidR="00543AC4" w:rsidRPr="009176C2" w:rsidRDefault="00543AC4" w:rsidP="002F561D">
      <w:pPr>
        <w:tabs>
          <w:tab w:val="left" w:pos="475"/>
        </w:tabs>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Este anexo del plan estratégico, 2014-2017, presenta el marco integrado de resultados (IRF, por sus siglas en inglés). El IRF es un componente esencial del plan estratégico, ya que incluye los indicadores, las líneas de base y los objetivos que establecen los resultados que el UNFPA procura lograr para el período 2014-2017 y mediante los cuales se evaluará la rendición de cuentas.</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En la figura 1, se muestra la estructura del IRF:</w:t>
      </w:r>
    </w:p>
    <w:p w:rsidR="00543AC4" w:rsidRPr="00BD26C5" w:rsidRDefault="00543AC4" w:rsidP="002F561D">
      <w:pPr>
        <w:tabs>
          <w:tab w:val="left" w:pos="475"/>
        </w:tabs>
        <w:ind w:left="1080" w:right="720"/>
        <w:jc w:val="both"/>
        <w:rPr>
          <w:color w:val="000000"/>
          <w:lang w:val="es-AR"/>
        </w:rPr>
      </w:pPr>
    </w:p>
    <w:p w:rsidR="00543AC4" w:rsidRDefault="00543AC4" w:rsidP="00342811">
      <w:pPr>
        <w:keepNext/>
        <w:spacing w:after="120"/>
        <w:ind w:left="1080" w:right="720"/>
        <w:rPr>
          <w:b/>
          <w:bCs/>
          <w:lang w:val="es-ES" w:eastAsia="es-ES"/>
        </w:rPr>
      </w:pPr>
      <w:r>
        <w:rPr>
          <w:b/>
          <w:bCs/>
          <w:lang w:val="es-ES" w:eastAsia="es-ES"/>
        </w:rPr>
        <w:t>Figura 1: Estructura del marco integrado de resultados</w:t>
      </w:r>
    </w:p>
    <w:p w:rsidR="00543AC4" w:rsidRPr="001D35B0" w:rsidRDefault="00A22828" w:rsidP="00342811">
      <w:pPr>
        <w:keepNext/>
        <w:spacing w:after="120"/>
        <w:ind w:left="1080" w:right="720"/>
        <w:rPr>
          <w:color w:val="000000"/>
          <w:lang w:val="en-US"/>
        </w:rPr>
      </w:pPr>
      <w:r>
        <w:rPr>
          <w:noProof/>
          <w:color w:val="000000"/>
          <w:lang w:val="en-US"/>
        </w:rPr>
        <w:drawing>
          <wp:inline distT="0" distB="0" distL="0" distR="0">
            <wp:extent cx="4773295" cy="3070225"/>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295" cy="3070225"/>
                    </a:xfrm>
                    <a:prstGeom prst="rect">
                      <a:avLst/>
                    </a:prstGeom>
                    <a:noFill/>
                    <a:ln>
                      <a:noFill/>
                    </a:ln>
                  </pic:spPr>
                </pic:pic>
              </a:graphicData>
            </a:graphic>
          </wp:inline>
        </w:drawing>
      </w:r>
    </w:p>
    <w:p w:rsidR="00543AC4" w:rsidRDefault="00543AC4" w:rsidP="002F561D">
      <w:pPr>
        <w:ind w:left="1080" w:right="720"/>
        <w:jc w:val="both"/>
        <w:rPr>
          <w:color w:val="000000"/>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Esta estructura presenta varias características significativas que es importante destacar. Primero, hay un solo marco integrado que muestra la conexión entre resultados de desarrollo y de gestión, hecho que contrasta con los planes estratégicos anteriores, en los que se utilizaban marcos separados.</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Segundo, los resultados de desarrollo se capturan a los niveles de impacto, finales y de producto. Esto está en línea con la guía de la Revisión Cuadrienal Amplia de la Política (QCPR, por sus siglas en inglés) y armoniza con otras organizaciones de las Naciones Unidas (véase abajo).</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Tercero, hay una cadena de resultados clara para cada área en la que trabaja el UNFPA: la eficacia y la eficiencia organizacionales permiten lograr los resultados, que a su vez contribuyen directamente con los resultados finales, que de forma conjunta llevaran al impacto. Por lo tanto, existe una relación de “varios frente a uno” entre los niveles de resultados de desarrollo, y diversos resultados de nivel inferior llevan a un resultado de nivel superior. El hecho de que cada producto esté vinculado directamente con un resultado final específico permite obtener una teoría clara de cambio para el trabajo del UNFPA y, por lo tanto, es un elemento importante de la estructura. (Las teorías de cambio se presentan en el anexo 2 del Plan Estratégico). Sin embargo, esto plantea un desafío relacionado con el hecho de que cualquier marco de resultados es, por definición, una simplificación de la realidad: en la aplicación, algunos productos contribuirán con varios resultados finales, que no se pueden </w:t>
      </w:r>
      <w:r>
        <w:rPr>
          <w:color w:val="000000"/>
          <w:lang w:val="es-ES" w:eastAsia="es-ES"/>
        </w:rPr>
        <w:lastRenderedPageBreak/>
        <w:t>mostrar de forma sencilla en una estructura simple como esta. Esto se maneja al destacar estos vínculos en la narrativa que describe las teorías de cambio.</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Finalmente, esta estructura se comparte con otros programas y fondos de las Naciones Unidas. Como se describe más detalladamente en el documento principal del Plan Estratégico (DP/FPA/2013/12), un proceso consultivo, que involucra</w:t>
      </w:r>
      <w:r w:rsidR="00A22828">
        <w:rPr>
          <w:color w:val="000000"/>
          <w:lang w:val="es-ES" w:eastAsia="es-ES"/>
        </w:rPr>
        <w:t xml:space="preserve"> </w:t>
      </w:r>
      <w:r>
        <w:rPr>
          <w:color w:val="000000"/>
          <w:lang w:val="es-ES" w:eastAsia="es-ES"/>
        </w:rPr>
        <w:t xml:space="preserve">el Programa de las Naciones Unidad para el Desarrollo (PNUD) Organización de las Naciones Unidas para la Infancia (UNICEF),ONU Mujeres y el </w:t>
      </w:r>
      <w:r w:rsidRPr="005144F6">
        <w:rPr>
          <w:lang w:val="es-CO"/>
        </w:rPr>
        <w:t>Programa Mundial de Alimentos</w:t>
      </w:r>
      <w:r>
        <w:rPr>
          <w:color w:val="000000"/>
          <w:lang w:val="es-ES" w:eastAsia="es-ES"/>
        </w:rPr>
        <w:t xml:space="preserve"> (PMA) en particular, ha facilitado la adopción de enfoques comunes en varias áreas. Uno de estos enfoques es la adopción de indicadores compartidos para hacer un seguimiento de la aplicación de la QCPR. En el IRF, varios indicadores se encuentran etiquetados como “QCPR compartida”, lo que refleja el hecho de que cada una de las organizaciones ha incluido en sus respectivos marcos de resultados un conjunto común de indicadores que se desarrolló como parte del plan de acción del Grupo de Desarrollo de las Naciones Unidas de la QCPR. Como resultado de modelos comerciales diferentes, cada organización también evaluará algunos elementos de particular relevancia de la aplicación de la QCPR con indicadores adaptados a los asuntos específicos que son más pertinentes para la organización; los que se etiquetan como “QCPR”.</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Otro elemento de esta armonización es definitorio: los términos en el marco de resultados se utilizan de acuerdo con el Manual de Gestión Basada en los Resultados del Grupo de Desarrollo de las Naciones Unidas.</w:t>
      </w:r>
      <w:r w:rsidR="00A22828">
        <w:rPr>
          <w:color w:val="000000"/>
          <w:lang w:val="es-ES" w:eastAsia="es-ES"/>
        </w:rPr>
        <w:t xml:space="preserve"> </w:t>
      </w:r>
      <w:r>
        <w:rPr>
          <w:color w:val="000000"/>
          <w:lang w:val="es-ES" w:eastAsia="es-ES"/>
        </w:rPr>
        <w:t>Así, “impacto” hace referencia a los cambios en las vidas de las personas, que por lo general son causados por las acciones de múltiples actores.</w:t>
      </w:r>
      <w:r w:rsidR="00A22828">
        <w:rPr>
          <w:color w:val="000000"/>
          <w:lang w:val="es-ES" w:eastAsia="es-ES"/>
        </w:rPr>
        <w:t xml:space="preserve"> </w:t>
      </w:r>
      <w:r>
        <w:rPr>
          <w:color w:val="000000"/>
          <w:lang w:val="es-ES" w:eastAsia="es-ES"/>
        </w:rPr>
        <w:t>Estos claramente están fuera del control del UNFPA, por lo que los cambios a este nivel no se pueden atribuir únicamente al trabajo de la organización.</w:t>
      </w:r>
      <w:r w:rsidR="00A22828">
        <w:rPr>
          <w:color w:val="000000"/>
          <w:lang w:val="es-ES" w:eastAsia="es-ES"/>
        </w:rPr>
        <w:t xml:space="preserve"> </w:t>
      </w:r>
      <w:r>
        <w:rPr>
          <w:color w:val="000000"/>
          <w:lang w:val="es-ES" w:eastAsia="es-ES"/>
        </w:rPr>
        <w:t>Los “resultados finales” representan cambios en capacidades institucionales y del comportamiento que también se encuentran fuera del control exclusivo del UNFPA.</w:t>
      </w:r>
      <w:r w:rsidR="00A22828">
        <w:rPr>
          <w:color w:val="000000"/>
          <w:lang w:val="es-ES" w:eastAsia="es-ES"/>
        </w:rPr>
        <w:t xml:space="preserve"> </w:t>
      </w:r>
      <w:r>
        <w:rPr>
          <w:color w:val="000000"/>
          <w:lang w:val="es-ES" w:eastAsia="es-ES"/>
        </w:rPr>
        <w:t>En cambio, el término “productos” hace referencia básicamente a los productos y servicios prestados por UNFPA, que la organización controla y por los cuales puede ser responsabilizada.</w:t>
      </w:r>
      <w:r w:rsidR="00A22828">
        <w:rPr>
          <w:color w:val="000000"/>
          <w:lang w:val="es-ES" w:eastAsia="es-ES"/>
        </w:rPr>
        <w:t xml:space="preserve"> </w:t>
      </w:r>
      <w:r>
        <w:rPr>
          <w:color w:val="000000"/>
          <w:lang w:val="es-ES" w:eastAsia="es-ES"/>
        </w:rPr>
        <w:t>Los indicadores que se utilizarán para hacer un seguimiento del progreso a este nivel permitirán una rendición de cuentas clara de los resultados.</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Sin embargo, existe un desafío en esta estructura: la desigualdad entre resultados finales y productos por lo general es significativa, lo que dificulta ver las conexiones causales entre los productos y servicios que UNFPA presta (por ej., la asistencia técnica para el personal del ministerio de salud en relación con la gestión de logística para suministros de salud reproductiva) y los resultados finales (por ej., el porcentaje de puntos de prestación de servicios que no han tenido desabastecimiento de anticonceptivos en los últimos seis meses).El nivel faltante generalmente se relaciona con cambios en la capacidad nacional (por ej., no solo que se capacitó al personal sino que han internalizado la información y son capaces de ponerla en práctica porque reciben pagos de manera regular, tienen vehículos para transportar anticonceptivos a los puntos de prestación de servicios y no se ven forzados a abandonar sus instalaciones debido a disturbios, etc.).Estos cambios en la capacidad nacional también se encuentran fuera del control directo del UNFPA, aunque la organización realice una contribución sólida para que ocurran.</w:t>
      </w:r>
      <w:r w:rsidR="00A22828">
        <w:rPr>
          <w:color w:val="000000"/>
          <w:lang w:val="es-ES" w:eastAsia="es-ES"/>
        </w:rPr>
        <w:t xml:space="preserve"> </w:t>
      </w:r>
      <w:r>
        <w:rPr>
          <w:color w:val="000000"/>
          <w:lang w:val="es-ES" w:eastAsia="es-ES"/>
        </w:rPr>
        <w:t>Estos cambios se reflejan en las declaraciones de producto que describen las mejoras diseñadas para que se produzcan como resultado de los productos y servicios que presta el UNFPA.</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Para asegurar que la medición de estos cambios permita que se capture claramente la contribución del UNFPA, se ha utilizado el siguiente enfoque para establecer objetivos anuales para indicadores de producto por los cuales se puede responsabilizar al UNFPA:</w:t>
      </w:r>
    </w:p>
    <w:p w:rsidR="00543AC4" w:rsidRPr="00BD26C5" w:rsidRDefault="00543AC4" w:rsidP="002F561D">
      <w:pPr>
        <w:tabs>
          <w:tab w:val="left" w:pos="475"/>
        </w:tabs>
        <w:ind w:right="720"/>
        <w:jc w:val="both"/>
        <w:rPr>
          <w:color w:val="000000"/>
          <w:lang w:val="es-AR"/>
        </w:rPr>
      </w:pPr>
    </w:p>
    <w:p w:rsidR="00543AC4" w:rsidRPr="00BD26C5" w:rsidRDefault="00543AC4" w:rsidP="002F561D">
      <w:pPr>
        <w:numPr>
          <w:ilvl w:val="0"/>
          <w:numId w:val="3"/>
        </w:numPr>
        <w:tabs>
          <w:tab w:val="num" w:pos="720"/>
        </w:tabs>
        <w:ind w:right="720"/>
        <w:jc w:val="both"/>
        <w:rPr>
          <w:lang w:val="es-AR"/>
        </w:rPr>
      </w:pPr>
      <w:r>
        <w:rPr>
          <w:lang w:val="es-ES" w:eastAsia="es-ES"/>
        </w:rPr>
        <w:t>Se estableció una línea de base que refleja la situación actual reciente en los países en los cuales trabaja el UNFPA, mediante una encuesta de cada oficina en los países del UNFPA.</w:t>
      </w:r>
      <w:r w:rsidR="00A22828">
        <w:rPr>
          <w:lang w:val="es-ES" w:eastAsia="es-ES"/>
        </w:rPr>
        <w:t xml:space="preserve"> </w:t>
      </w:r>
      <w:r>
        <w:rPr>
          <w:lang w:val="es-ES" w:eastAsia="es-ES"/>
        </w:rPr>
        <w:t>Por ejemplo, para el indicador “</w:t>
      </w:r>
      <w:r w:rsidR="00A22828">
        <w:rPr>
          <w:lang w:val="es-ES" w:eastAsia="es-ES"/>
        </w:rPr>
        <w:t>Número</w:t>
      </w:r>
      <w:r>
        <w:rPr>
          <w:lang w:val="es-ES" w:eastAsia="es-ES"/>
        </w:rPr>
        <w:t xml:space="preserve"> de países que utilizan sistemas de información de gestión de logística funcional para prever y supervisar los </w:t>
      </w:r>
      <w:r>
        <w:rPr>
          <w:lang w:val="es-ES" w:eastAsia="es-ES"/>
        </w:rPr>
        <w:lastRenderedPageBreak/>
        <w:t>suministros de salud reproductiva”, se realizaron preguntas a cada oficina en los países del UNFPA acerca del estado actual de los sistemas de información de gestión de logística en ese país.</w:t>
      </w:r>
      <w:r w:rsidR="00A22828">
        <w:rPr>
          <w:lang w:val="es-ES" w:eastAsia="es-ES"/>
        </w:rPr>
        <w:t xml:space="preserve"> </w:t>
      </w:r>
      <w:r>
        <w:rPr>
          <w:lang w:val="es-ES" w:eastAsia="es-ES"/>
        </w:rPr>
        <w:t>Se determinó que un total de 75 países tenían sistemas de información de gestión de logística para prever y supervisar los suministros de salud reproductiva.</w:t>
      </w:r>
    </w:p>
    <w:p w:rsidR="00543AC4" w:rsidRPr="00BD26C5" w:rsidRDefault="00543AC4" w:rsidP="002F561D">
      <w:pPr>
        <w:ind w:left="1800" w:right="720"/>
        <w:jc w:val="both"/>
        <w:rPr>
          <w:lang w:val="es-AR"/>
        </w:rPr>
      </w:pPr>
    </w:p>
    <w:p w:rsidR="00543AC4" w:rsidRPr="00BD26C5" w:rsidRDefault="00543AC4" w:rsidP="002F561D">
      <w:pPr>
        <w:numPr>
          <w:ilvl w:val="0"/>
          <w:numId w:val="3"/>
        </w:numPr>
        <w:tabs>
          <w:tab w:val="num" w:pos="720"/>
        </w:tabs>
        <w:ind w:right="720"/>
        <w:jc w:val="both"/>
        <w:rPr>
          <w:lang w:val="es-AR"/>
        </w:rPr>
      </w:pPr>
      <w:r>
        <w:rPr>
          <w:lang w:val="es-ES" w:eastAsia="es-ES"/>
        </w:rPr>
        <w:t xml:space="preserve">Para aquellas oficinas de país que no utilizan sistemas de información de gestión de logística, se preguntó si planeaban trabajar en el producto para el período 2014-2017 y, en caso afirmativo, en qué </w:t>
      </w:r>
      <w:r w:rsidR="00A22828">
        <w:rPr>
          <w:lang w:val="es-ES" w:eastAsia="es-ES"/>
        </w:rPr>
        <w:t>año. Pará</w:t>
      </w:r>
      <w:r>
        <w:rPr>
          <w:lang w:val="es-ES" w:eastAsia="es-ES"/>
        </w:rPr>
        <w:t xml:space="preserve"> el indicador de sistemas de información de gestión de logística, 36 oficinas adicionales en los países indicaron que planeaban trabajar con el asunto antes de 2017, por lo que para ese año, un total de 111 países debería tener sistemas </w:t>
      </w:r>
      <w:r w:rsidR="00A22828">
        <w:rPr>
          <w:lang w:val="es-ES" w:eastAsia="es-ES"/>
        </w:rPr>
        <w:t>funcionales. Esté</w:t>
      </w:r>
      <w:r>
        <w:rPr>
          <w:lang w:val="es-ES" w:eastAsia="es-ES"/>
        </w:rPr>
        <w:t xml:space="preserve"> número de 111 países es el objetivo de 2017 que se refleja en el IRF.</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Los indicadores a nivel de impacto y resultado final se manejan de manera diferente, ya que generalmente no cambian de forma significativa sobre una base anual y porque muchos de los indicadores no se pueden medir anualmente, ya que provienen de encuestas por hogares o de otras recopilaciones de datos que ocurren con menor </w:t>
      </w:r>
      <w:r w:rsidR="00A22828">
        <w:rPr>
          <w:color w:val="000000"/>
          <w:lang w:val="es-ES" w:eastAsia="es-ES"/>
        </w:rPr>
        <w:t>frecuencia. Como</w:t>
      </w:r>
      <w:r>
        <w:rPr>
          <w:color w:val="000000"/>
          <w:lang w:val="es-ES" w:eastAsia="es-ES"/>
        </w:rPr>
        <w:t xml:space="preserve"> resultado, los objetivos para estos indicadores se establecen únicamente para 2015 y 2017.En la medida de lo posible para recopilar datos sobre estos indicadores en los años intermedios (es decir, 2014 y 2016), se incluirán en los informes en el IRF.</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Para los indicadores de impacto y resultado final y para un conjunto más reducido de indicadores a nivel de producto los datos se presentarán en forma desagregada desglosados según las características demográficas para un indicador </w:t>
      </w:r>
      <w:r w:rsidR="00A22828">
        <w:rPr>
          <w:color w:val="000000"/>
          <w:lang w:val="es-ES" w:eastAsia="es-ES"/>
        </w:rPr>
        <w:t>dado. En</w:t>
      </w:r>
      <w:r>
        <w:rPr>
          <w:color w:val="000000"/>
          <w:lang w:val="es-ES" w:eastAsia="es-ES"/>
        </w:rPr>
        <w:t xml:space="preserve"> particular, siempre que sea posible, los datos para estos indicadores se desglosarán según el sexo, la edad, el quintil de riqueza, la ubicación (urbana/rural), la etnicidad y el estado de discapacidad.</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Los medios por los cuales el UNFPA logrará los resultados establecidos en el IRF variarán según el contexto del </w:t>
      </w:r>
      <w:r w:rsidR="00A22828">
        <w:rPr>
          <w:color w:val="000000"/>
          <w:lang w:val="es-ES" w:eastAsia="es-ES"/>
        </w:rPr>
        <w:t>país. Las</w:t>
      </w:r>
      <w:r>
        <w:rPr>
          <w:color w:val="000000"/>
          <w:lang w:val="es-ES" w:eastAsia="es-ES"/>
        </w:rPr>
        <w:t xml:space="preserve"> cuatro estrategias principales del programa que utiliza el UNFPA son abogacía/diálogo sobre política, gestión de conocimiento, desarrollo de la capacidad y prestación de </w:t>
      </w:r>
      <w:r w:rsidR="00A22828">
        <w:rPr>
          <w:color w:val="000000"/>
          <w:lang w:val="es-ES" w:eastAsia="es-ES"/>
        </w:rPr>
        <w:t>servicios. Éstas</w:t>
      </w:r>
      <w:r>
        <w:rPr>
          <w:color w:val="000000"/>
          <w:lang w:val="es-ES" w:eastAsia="es-ES"/>
        </w:rPr>
        <w:t xml:space="preserve"> se describen con más detalles en el anexo 2 de este Plan Estratégico que presenta teorías de cambio para cada resultado </w:t>
      </w:r>
      <w:r w:rsidR="00A22828">
        <w:rPr>
          <w:color w:val="000000"/>
          <w:lang w:val="es-ES" w:eastAsia="es-ES"/>
        </w:rPr>
        <w:t>final. El</w:t>
      </w:r>
      <w:r>
        <w:rPr>
          <w:color w:val="000000"/>
          <w:lang w:val="es-ES" w:eastAsia="es-ES"/>
        </w:rPr>
        <w:t xml:space="preserve"> anexo 3 sobre el modelo comercial también suministra información adicional acerca de la manera en que el UNFPA se compromete en diferentes entornos.</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A medida que la organización cambia su trabajo en sentido ascendente (es decir, hacia la promoción incrementada y el abogacía/dialogo sobre política y lejos de la prestación de servicios), el IRF incluye una Número de indicadores nuevos que reflejan el compromiso de la organización en estas </w:t>
      </w:r>
      <w:r w:rsidR="00A22828">
        <w:rPr>
          <w:color w:val="000000"/>
          <w:lang w:val="es-ES" w:eastAsia="es-ES"/>
        </w:rPr>
        <w:t>áreas. Si</w:t>
      </w:r>
      <w:r>
        <w:rPr>
          <w:color w:val="000000"/>
          <w:lang w:val="es-ES" w:eastAsia="es-ES"/>
        </w:rPr>
        <w:t xml:space="preserve"> bien la mayor parte del IRF se centra en los cambios a nivel de país, también incluye una Número de indicadores nuevos que capturan el trabajo de la organización a nivel regional y global.</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Sin embargo, es importante destacar que el IRF no puede capturar todas y cada una de las actividades realizadas por la </w:t>
      </w:r>
      <w:r w:rsidR="00A22828">
        <w:rPr>
          <w:color w:val="000000"/>
          <w:lang w:val="es-ES" w:eastAsia="es-ES"/>
        </w:rPr>
        <w:t>organización. Esto</w:t>
      </w:r>
      <w:r>
        <w:rPr>
          <w:color w:val="000000"/>
          <w:lang w:val="es-ES" w:eastAsia="es-ES"/>
        </w:rPr>
        <w:t xml:space="preserve"> refleja el establecimiento de prioridades, el IRF está diseñado para centrarse en las áreas más importantes para la organización en lugar de ser exhaustivo, y el hecho de que intrínsecamente resulta más desafiante medir algunas áreas de </w:t>
      </w:r>
      <w:r w:rsidR="00A22828">
        <w:rPr>
          <w:color w:val="000000"/>
          <w:lang w:val="es-ES" w:eastAsia="es-ES"/>
        </w:rPr>
        <w:t>trabajo. Este</w:t>
      </w:r>
      <w:r>
        <w:rPr>
          <w:color w:val="000000"/>
          <w:lang w:val="es-ES" w:eastAsia="es-ES"/>
        </w:rPr>
        <w:t xml:space="preserve"> es el caso particular para el trabajo en sentido ascendente, y si bien el IRF se encuentra un paso adelante en términos de la medición del grado de promoción y abogacía/diálogo sobre política y el trabajo de gestión de conocimiento que realiza la organización, sigue siendo un reflejo parcial de este trabajo.</w:t>
      </w:r>
    </w:p>
    <w:p w:rsidR="00543AC4" w:rsidRPr="00BD26C5" w:rsidRDefault="00543AC4" w:rsidP="002F561D">
      <w:pPr>
        <w:tabs>
          <w:tab w:val="left" w:pos="475"/>
        </w:tabs>
        <w:ind w:left="1080" w:right="720"/>
        <w:jc w:val="both"/>
        <w:rPr>
          <w:color w:val="000000"/>
          <w:lang w:val="es-AR"/>
        </w:rPr>
      </w:pPr>
    </w:p>
    <w:p w:rsidR="00543AC4" w:rsidRPr="00BD26C5" w:rsidRDefault="00543AC4" w:rsidP="002F561D">
      <w:pPr>
        <w:numPr>
          <w:ilvl w:val="0"/>
          <w:numId w:val="1"/>
        </w:numPr>
        <w:tabs>
          <w:tab w:val="left" w:pos="475"/>
        </w:tabs>
        <w:ind w:left="1080" w:right="720" w:firstLine="0"/>
        <w:jc w:val="both"/>
        <w:rPr>
          <w:color w:val="000000"/>
          <w:lang w:val="es-AR"/>
        </w:rPr>
      </w:pPr>
      <w:r>
        <w:rPr>
          <w:color w:val="000000"/>
          <w:lang w:val="es-ES" w:eastAsia="es-ES"/>
        </w:rPr>
        <w:t xml:space="preserve">Finalmente, para complementar el IRF, se están preparando “hojas de metadatos” para los </w:t>
      </w:r>
      <w:r w:rsidR="00A22828">
        <w:rPr>
          <w:color w:val="000000"/>
          <w:lang w:val="es-ES" w:eastAsia="es-ES"/>
        </w:rPr>
        <w:t>indicadores. Éstas</w:t>
      </w:r>
      <w:r>
        <w:rPr>
          <w:color w:val="000000"/>
          <w:lang w:val="es-ES" w:eastAsia="es-ES"/>
        </w:rPr>
        <w:t xml:space="preserve"> proporcionan definiciones completas para cada indicador, lo que ayuda a garantizar que los indicadores en sí no sean excesivamente complicados, y también garantizan </w:t>
      </w:r>
      <w:r>
        <w:rPr>
          <w:color w:val="000000"/>
          <w:lang w:val="es-ES" w:eastAsia="es-ES"/>
        </w:rPr>
        <w:lastRenderedPageBreak/>
        <w:t xml:space="preserve">que cualquier ambigüedad en la descripción de un indicador no cause desafíos posteriores de </w:t>
      </w:r>
      <w:r w:rsidR="00A22828">
        <w:rPr>
          <w:color w:val="000000"/>
          <w:lang w:val="es-ES" w:eastAsia="es-ES"/>
        </w:rPr>
        <w:t>medición. Las</w:t>
      </w:r>
      <w:r>
        <w:rPr>
          <w:color w:val="000000"/>
          <w:lang w:val="es-ES" w:eastAsia="es-ES"/>
        </w:rPr>
        <w:t xml:space="preserve"> hojas de metadatos también detallan el método de cálculo, la fuente de los datos y cómo se establecieron los </w:t>
      </w:r>
      <w:r w:rsidR="00A22828">
        <w:rPr>
          <w:color w:val="000000"/>
          <w:lang w:val="es-ES" w:eastAsia="es-ES"/>
        </w:rPr>
        <w:t>objetivos. Además</w:t>
      </w:r>
      <w:r>
        <w:rPr>
          <w:color w:val="000000"/>
          <w:lang w:val="es-ES" w:eastAsia="es-ES"/>
        </w:rPr>
        <w:t xml:space="preserve">, para los indicadores que se centran en un área geográfica particular, ésta se describe en los </w:t>
      </w:r>
      <w:r w:rsidR="00A22828">
        <w:rPr>
          <w:color w:val="000000"/>
          <w:lang w:val="es-ES" w:eastAsia="es-ES"/>
        </w:rPr>
        <w:t>metadatos. Las</w:t>
      </w:r>
      <w:r>
        <w:rPr>
          <w:color w:val="000000"/>
          <w:lang w:val="es-ES" w:eastAsia="es-ES"/>
        </w:rPr>
        <w:t xml:space="preserve"> hojas de metadatos se finalizarán antes de septiembre de 2013 y se podrán a la disposición públicamente.</w:t>
      </w:r>
    </w:p>
    <w:p w:rsidR="00543AC4" w:rsidRPr="00BD26C5" w:rsidRDefault="00543AC4" w:rsidP="002F561D">
      <w:pPr>
        <w:ind w:left="1080" w:right="720"/>
        <w:jc w:val="both"/>
        <w:rPr>
          <w:color w:val="000000"/>
          <w:lang w:val="es-AR"/>
        </w:rPr>
      </w:pPr>
    </w:p>
    <w:p w:rsidR="00543AC4" w:rsidRPr="00BD26C5" w:rsidRDefault="00543AC4" w:rsidP="002F561D">
      <w:pPr>
        <w:ind w:left="1080" w:right="720"/>
        <w:jc w:val="both"/>
        <w:rPr>
          <w:color w:val="000000"/>
          <w:lang w:val="es-AR"/>
        </w:rPr>
        <w:sectPr w:rsidR="00543AC4" w:rsidRPr="00BD26C5" w:rsidSect="002F561D">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pPr>
    </w:p>
    <w:p w:rsidR="00543AC4" w:rsidRPr="009176C2" w:rsidRDefault="00543AC4" w:rsidP="002F561D">
      <w:pPr>
        <w:pStyle w:val="Heading1"/>
        <w:numPr>
          <w:ilvl w:val="0"/>
          <w:numId w:val="4"/>
        </w:numPr>
      </w:pPr>
      <w:bookmarkStart w:id="1" w:name="_Toc364061197"/>
      <w:r>
        <w:rPr>
          <w:bCs/>
          <w:szCs w:val="28"/>
          <w:lang w:val="es-ES" w:eastAsia="es-ES"/>
        </w:rPr>
        <w:lastRenderedPageBreak/>
        <w:t>Marco integrado de resultados</w:t>
      </w:r>
      <w:bookmarkEnd w:id="1"/>
    </w:p>
    <w:p w:rsidR="00543AC4" w:rsidRDefault="00543AC4" w:rsidP="002F561D">
      <w:pPr>
        <w:ind w:left="1080" w:right="720"/>
        <w:jc w:val="both"/>
        <w:rPr>
          <w:color w:val="000000"/>
        </w:rPr>
      </w:pPr>
    </w:p>
    <w:tbl>
      <w:tblPr>
        <w:tblpPr w:leftFromText="180" w:rightFromText="180" w:vertAnchor="text" w:horzAnchor="margin" w:tblpY="-34"/>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72" w:type="dxa"/>
        </w:tblCellMar>
        <w:tblLook w:val="00A0" w:firstRow="1" w:lastRow="0" w:firstColumn="1" w:lastColumn="0" w:noHBand="0" w:noVBand="0"/>
      </w:tblPr>
      <w:tblGrid>
        <w:gridCol w:w="804"/>
        <w:gridCol w:w="840"/>
        <w:gridCol w:w="231"/>
        <w:gridCol w:w="2232"/>
        <w:gridCol w:w="15"/>
        <w:gridCol w:w="2999"/>
        <w:gridCol w:w="420"/>
        <w:gridCol w:w="750"/>
        <w:gridCol w:w="180"/>
        <w:gridCol w:w="841"/>
        <w:gridCol w:w="886"/>
        <w:gridCol w:w="886"/>
        <w:gridCol w:w="886"/>
        <w:gridCol w:w="1710"/>
      </w:tblGrid>
      <w:tr w:rsidR="00543AC4" w:rsidTr="000C4ABA">
        <w:trPr>
          <w:trHeight w:val="315"/>
        </w:trPr>
        <w:tc>
          <w:tcPr>
            <w:tcW w:w="804" w:type="dxa"/>
            <w:shd w:val="clear" w:color="auto" w:fill="A6A6A6"/>
            <w:vAlign w:val="center"/>
          </w:tcPr>
          <w:p w:rsidR="00543AC4" w:rsidRPr="001A26EA" w:rsidRDefault="00543AC4" w:rsidP="002F561D">
            <w:pPr>
              <w:jc w:val="center"/>
              <w:rPr>
                <w:b/>
                <w:bCs/>
              </w:rPr>
            </w:pPr>
            <w:r>
              <w:rPr>
                <w:b/>
                <w:bCs/>
                <w:lang w:val="es-ES" w:eastAsia="es-ES"/>
              </w:rPr>
              <w:lastRenderedPageBreak/>
              <w:t>Objetivo</w:t>
            </w:r>
          </w:p>
        </w:tc>
        <w:tc>
          <w:tcPr>
            <w:tcW w:w="1071" w:type="dxa"/>
            <w:gridSpan w:val="2"/>
            <w:shd w:val="clear" w:color="auto" w:fill="A6A6A6"/>
            <w:vAlign w:val="center"/>
          </w:tcPr>
          <w:p w:rsidR="00543AC4" w:rsidRPr="001A26EA" w:rsidRDefault="00543AC4" w:rsidP="002F561D">
            <w:pPr>
              <w:jc w:val="center"/>
              <w:rPr>
                <w:b/>
                <w:bCs/>
              </w:rPr>
            </w:pPr>
            <w:r>
              <w:rPr>
                <w:b/>
                <w:bCs/>
                <w:lang w:val="es-ES" w:eastAsia="es-ES"/>
              </w:rPr>
              <w:t>Resultado final</w:t>
            </w:r>
          </w:p>
        </w:tc>
        <w:tc>
          <w:tcPr>
            <w:tcW w:w="2232" w:type="dxa"/>
            <w:shd w:val="clear" w:color="auto" w:fill="A6A6A6"/>
            <w:vAlign w:val="center"/>
          </w:tcPr>
          <w:p w:rsidR="00543AC4" w:rsidRPr="001A26EA" w:rsidRDefault="00543AC4" w:rsidP="002F561D">
            <w:pPr>
              <w:jc w:val="center"/>
              <w:rPr>
                <w:b/>
                <w:bCs/>
              </w:rPr>
            </w:pPr>
            <w:r>
              <w:rPr>
                <w:b/>
                <w:bCs/>
                <w:lang w:val="es-ES" w:eastAsia="es-ES"/>
              </w:rPr>
              <w:t>Producto</w:t>
            </w:r>
          </w:p>
        </w:tc>
        <w:tc>
          <w:tcPr>
            <w:tcW w:w="3434" w:type="dxa"/>
            <w:gridSpan w:val="3"/>
            <w:shd w:val="clear" w:color="auto" w:fill="A6A6A6"/>
            <w:vAlign w:val="center"/>
          </w:tcPr>
          <w:p w:rsidR="00543AC4" w:rsidRPr="001A26EA" w:rsidRDefault="00543AC4" w:rsidP="002F561D">
            <w:pPr>
              <w:jc w:val="center"/>
              <w:rPr>
                <w:b/>
                <w:bCs/>
              </w:rPr>
            </w:pPr>
            <w:r>
              <w:rPr>
                <w:b/>
                <w:bCs/>
                <w:lang w:val="es-ES" w:eastAsia="es-ES"/>
              </w:rPr>
              <w:t>Indicador</w:t>
            </w:r>
          </w:p>
        </w:tc>
        <w:tc>
          <w:tcPr>
            <w:tcW w:w="930" w:type="dxa"/>
            <w:gridSpan w:val="2"/>
            <w:shd w:val="clear" w:color="auto" w:fill="A6A6A6"/>
            <w:vAlign w:val="center"/>
          </w:tcPr>
          <w:p w:rsidR="00543AC4" w:rsidRPr="001A26EA" w:rsidRDefault="00543AC4" w:rsidP="00CD44A8">
            <w:pPr>
              <w:jc w:val="center"/>
              <w:rPr>
                <w:b/>
                <w:bCs/>
              </w:rPr>
            </w:pPr>
            <w:r>
              <w:rPr>
                <w:b/>
                <w:bCs/>
                <w:lang w:val="es-ES" w:eastAsia="es-ES"/>
              </w:rPr>
              <w:t>Línea de base en 2012</w:t>
            </w:r>
          </w:p>
        </w:tc>
        <w:tc>
          <w:tcPr>
            <w:tcW w:w="841" w:type="dxa"/>
            <w:shd w:val="clear" w:color="auto" w:fill="A6A6A6"/>
            <w:vAlign w:val="center"/>
          </w:tcPr>
          <w:p w:rsidR="00543AC4" w:rsidRPr="001A26EA" w:rsidRDefault="00543AC4" w:rsidP="002F561D">
            <w:pPr>
              <w:jc w:val="center"/>
              <w:rPr>
                <w:b/>
                <w:bCs/>
              </w:rPr>
            </w:pPr>
            <w:r>
              <w:rPr>
                <w:b/>
                <w:bCs/>
                <w:lang w:val="es-ES" w:eastAsia="es-ES"/>
              </w:rPr>
              <w:t>Objetivo 2014</w:t>
            </w:r>
          </w:p>
        </w:tc>
        <w:tc>
          <w:tcPr>
            <w:tcW w:w="886" w:type="dxa"/>
            <w:shd w:val="clear" w:color="auto" w:fill="A6A6A6"/>
            <w:vAlign w:val="center"/>
          </w:tcPr>
          <w:p w:rsidR="00543AC4" w:rsidRPr="001A26EA" w:rsidRDefault="00543AC4" w:rsidP="002F561D">
            <w:pPr>
              <w:jc w:val="center"/>
              <w:rPr>
                <w:b/>
                <w:bCs/>
              </w:rPr>
            </w:pPr>
            <w:r>
              <w:rPr>
                <w:b/>
                <w:bCs/>
                <w:lang w:val="es-ES" w:eastAsia="es-ES"/>
              </w:rPr>
              <w:t>Objetivo 2015</w:t>
            </w:r>
          </w:p>
        </w:tc>
        <w:tc>
          <w:tcPr>
            <w:tcW w:w="886" w:type="dxa"/>
            <w:shd w:val="clear" w:color="auto" w:fill="A6A6A6"/>
            <w:vAlign w:val="center"/>
          </w:tcPr>
          <w:p w:rsidR="00543AC4" w:rsidRPr="001A26EA" w:rsidRDefault="00543AC4" w:rsidP="002F561D">
            <w:pPr>
              <w:jc w:val="center"/>
              <w:rPr>
                <w:b/>
                <w:bCs/>
              </w:rPr>
            </w:pPr>
            <w:r>
              <w:rPr>
                <w:b/>
                <w:bCs/>
                <w:lang w:val="es-ES" w:eastAsia="es-ES"/>
              </w:rPr>
              <w:t>Objetivo 2016</w:t>
            </w:r>
          </w:p>
        </w:tc>
        <w:tc>
          <w:tcPr>
            <w:tcW w:w="886" w:type="dxa"/>
            <w:shd w:val="clear" w:color="auto" w:fill="A6A6A6"/>
            <w:vAlign w:val="center"/>
          </w:tcPr>
          <w:p w:rsidR="00543AC4" w:rsidRPr="001A26EA" w:rsidRDefault="00543AC4" w:rsidP="002F561D">
            <w:pPr>
              <w:jc w:val="center"/>
              <w:rPr>
                <w:b/>
                <w:bCs/>
              </w:rPr>
            </w:pPr>
            <w:r>
              <w:rPr>
                <w:b/>
                <w:bCs/>
                <w:lang w:val="es-ES" w:eastAsia="es-ES"/>
              </w:rPr>
              <w:t>Objetivo 2017</w:t>
            </w:r>
          </w:p>
        </w:tc>
        <w:tc>
          <w:tcPr>
            <w:tcW w:w="1710" w:type="dxa"/>
            <w:shd w:val="clear" w:color="auto" w:fill="A6A6A6"/>
            <w:vAlign w:val="center"/>
          </w:tcPr>
          <w:p w:rsidR="00543AC4" w:rsidRPr="001A26EA" w:rsidRDefault="00543AC4" w:rsidP="00CD44A8">
            <w:pPr>
              <w:jc w:val="center"/>
              <w:rPr>
                <w:b/>
                <w:bCs/>
              </w:rPr>
            </w:pPr>
            <w:r>
              <w:rPr>
                <w:b/>
                <w:bCs/>
                <w:lang w:val="es-ES" w:eastAsia="es-ES"/>
              </w:rPr>
              <w:t>Fuente de datos</w:t>
            </w:r>
          </w:p>
        </w:tc>
      </w:tr>
      <w:tr w:rsidR="00543AC4" w:rsidRPr="00600170" w:rsidTr="000C4ABA">
        <w:trPr>
          <w:trHeight w:val="600"/>
        </w:trPr>
        <w:tc>
          <w:tcPr>
            <w:tcW w:w="4107" w:type="dxa"/>
            <w:gridSpan w:val="4"/>
            <w:vMerge w:val="restart"/>
            <w:shd w:val="clear" w:color="auto" w:fill="BFBFBF"/>
          </w:tcPr>
          <w:p w:rsidR="00543AC4" w:rsidRPr="00BD26C5" w:rsidRDefault="00543AC4" w:rsidP="000C4ABA">
            <w:pPr>
              <w:rPr>
                <w:lang w:val="es-AR"/>
              </w:rPr>
            </w:pPr>
            <w:r>
              <w:rPr>
                <w:b/>
                <w:bCs/>
                <w:lang w:val="es-ES" w:eastAsia="es-ES"/>
              </w:rPr>
              <w:t>Objetivo:</w:t>
            </w:r>
            <w:r>
              <w:rPr>
                <w:lang w:val="es-ES" w:eastAsia="es-ES"/>
              </w:rPr>
              <w:t xml:space="preserve"> Lograr acceso universal a la salud sexual y reproductiva, obtener derechos reproductivos y reducir la mortalidad materna para acelerar el progreso en la agenda de la </w:t>
            </w:r>
            <w:r w:rsidRPr="005144F6">
              <w:rPr>
                <w:lang w:val="es-CO"/>
              </w:rPr>
              <w:t xml:space="preserve"> Conferencia Internacional sobre Población y  Desarrollo</w:t>
            </w:r>
            <w:r>
              <w:rPr>
                <w:lang w:val="es-ES" w:eastAsia="es-ES"/>
              </w:rPr>
              <w:t xml:space="preserve"> (CIPD) para mejorar las vidas de adolescentes y jóvenes, y mujeres, lo cual es facilitado  </w:t>
            </w:r>
            <w:r w:rsidR="00A22828">
              <w:rPr>
                <w:lang w:val="es-ES" w:eastAsia="es-ES"/>
              </w:rPr>
              <w:t>por la</w:t>
            </w:r>
            <w:r>
              <w:rPr>
                <w:lang w:val="es-ES" w:eastAsia="es-ES"/>
              </w:rPr>
              <w:t xml:space="preserve"> dinámica poblacional, los derechos humanos y la igualdad de género</w:t>
            </w:r>
          </w:p>
        </w:tc>
        <w:tc>
          <w:tcPr>
            <w:tcW w:w="3434" w:type="dxa"/>
            <w:gridSpan w:val="3"/>
          </w:tcPr>
          <w:p w:rsidR="00543AC4" w:rsidRPr="00BD26C5" w:rsidRDefault="00543AC4" w:rsidP="00CD44A8">
            <w:pPr>
              <w:rPr>
                <w:lang w:val="es-AR"/>
              </w:rPr>
            </w:pPr>
            <w:r>
              <w:rPr>
                <w:lang w:val="es-ES" w:eastAsia="es-ES"/>
              </w:rPr>
              <w:t>Indicador de impacto 1: Razón de mortalidad materna</w:t>
            </w:r>
          </w:p>
        </w:tc>
        <w:tc>
          <w:tcPr>
            <w:tcW w:w="930" w:type="dxa"/>
            <w:gridSpan w:val="2"/>
          </w:tcPr>
          <w:p w:rsidR="00543AC4" w:rsidRPr="001A26EA" w:rsidRDefault="00543AC4" w:rsidP="002F561D">
            <w:r w:rsidRPr="001A26EA">
              <w:t>210</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173</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160</w:t>
            </w:r>
          </w:p>
        </w:tc>
        <w:tc>
          <w:tcPr>
            <w:tcW w:w="1710" w:type="dxa"/>
          </w:tcPr>
          <w:p w:rsidR="00543AC4" w:rsidRPr="00BD26C5" w:rsidRDefault="00543AC4" w:rsidP="002F561D">
            <w:pPr>
              <w:rPr>
                <w:lang w:val="es-AR"/>
              </w:rPr>
            </w:pPr>
            <w:r>
              <w:rPr>
                <w:lang w:val="es-ES" w:eastAsia="es-ES"/>
              </w:rPr>
              <w:t>Grupo Inter-agencial de las Naciones Unidas para la Estimación de Mortalidad Materna (MMEIEG)</w:t>
            </w:r>
          </w:p>
        </w:tc>
      </w:tr>
      <w:tr w:rsidR="00543AC4" w:rsidRPr="00600170" w:rsidTr="000C4ABA">
        <w:trPr>
          <w:trHeight w:val="300"/>
        </w:trPr>
        <w:tc>
          <w:tcPr>
            <w:tcW w:w="4107" w:type="dxa"/>
            <w:gridSpan w:val="4"/>
            <w:vMerge/>
            <w:shd w:val="clear" w:color="auto" w:fill="BFBFBF"/>
          </w:tcPr>
          <w:p w:rsidR="00543AC4" w:rsidRPr="00BD26C5" w:rsidRDefault="00543AC4" w:rsidP="002F561D">
            <w:pPr>
              <w:rPr>
                <w:lang w:val="es-AR"/>
              </w:rPr>
            </w:pPr>
          </w:p>
        </w:tc>
        <w:tc>
          <w:tcPr>
            <w:tcW w:w="3434" w:type="dxa"/>
            <w:gridSpan w:val="3"/>
          </w:tcPr>
          <w:p w:rsidR="00543AC4" w:rsidRPr="00BD26C5" w:rsidRDefault="00543AC4" w:rsidP="00CD44A8">
            <w:pPr>
              <w:rPr>
                <w:lang w:val="es-AR"/>
              </w:rPr>
            </w:pPr>
            <w:r>
              <w:rPr>
                <w:lang w:val="es-ES" w:eastAsia="es-ES"/>
              </w:rPr>
              <w:t xml:space="preserve">Indicador de impacto 2: Tasa de </w:t>
            </w:r>
            <w:r w:rsidR="00A22828">
              <w:rPr>
                <w:lang w:val="es-ES" w:eastAsia="es-ES"/>
              </w:rPr>
              <w:t>fecundidad de</w:t>
            </w:r>
            <w:r>
              <w:rPr>
                <w:lang w:val="es-ES" w:eastAsia="es-ES"/>
              </w:rPr>
              <w:t xml:space="preserve"> adolescentes</w:t>
            </w:r>
          </w:p>
        </w:tc>
        <w:tc>
          <w:tcPr>
            <w:tcW w:w="930" w:type="dxa"/>
            <w:gridSpan w:val="2"/>
          </w:tcPr>
          <w:p w:rsidR="00543AC4" w:rsidRPr="001A26EA" w:rsidRDefault="00543AC4" w:rsidP="002F561D">
            <w:r w:rsidRPr="001A26EA">
              <w:t>53.9</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45</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42</w:t>
            </w:r>
          </w:p>
        </w:tc>
        <w:tc>
          <w:tcPr>
            <w:tcW w:w="1710" w:type="dxa"/>
          </w:tcPr>
          <w:p w:rsidR="00543AC4" w:rsidRPr="00204B43" w:rsidRDefault="00543AC4" w:rsidP="00204B43">
            <w:pPr>
              <w:rPr>
                <w:lang w:val="es-CO"/>
              </w:rPr>
            </w:pPr>
            <w:r>
              <w:rPr>
                <w:lang w:val="es-CO" w:eastAsia="es-ES"/>
              </w:rPr>
              <w:t xml:space="preserve">Base de datos de </w:t>
            </w:r>
            <w:r w:rsidRPr="008870BB">
              <w:rPr>
                <w:lang w:val="es-CO" w:eastAsia="es-ES"/>
              </w:rPr>
              <w:t>UNFPA</w:t>
            </w:r>
            <w:r>
              <w:rPr>
                <w:lang w:val="es-CO" w:eastAsia="es-ES"/>
              </w:rPr>
              <w:t xml:space="preserve">: </w:t>
            </w:r>
            <w:r w:rsidRPr="008870BB">
              <w:rPr>
                <w:lang w:val="es-CO" w:eastAsia="es-ES"/>
              </w:rPr>
              <w:t xml:space="preserve">MDG5b+Info </w:t>
            </w:r>
          </w:p>
        </w:tc>
      </w:tr>
      <w:tr w:rsidR="00543AC4" w:rsidRPr="00600170" w:rsidTr="000C4ABA">
        <w:trPr>
          <w:trHeight w:val="600"/>
        </w:trPr>
        <w:tc>
          <w:tcPr>
            <w:tcW w:w="4107" w:type="dxa"/>
            <w:gridSpan w:val="4"/>
            <w:vMerge/>
            <w:shd w:val="clear" w:color="auto" w:fill="BFBFBF"/>
          </w:tcPr>
          <w:p w:rsidR="00543AC4" w:rsidRPr="00204B43" w:rsidRDefault="00543AC4" w:rsidP="002F561D">
            <w:pPr>
              <w:rPr>
                <w:lang w:val="es-CO"/>
              </w:rPr>
            </w:pPr>
          </w:p>
        </w:tc>
        <w:tc>
          <w:tcPr>
            <w:tcW w:w="3434" w:type="dxa"/>
            <w:gridSpan w:val="3"/>
          </w:tcPr>
          <w:p w:rsidR="00543AC4" w:rsidRPr="00BD26C5" w:rsidRDefault="00543AC4" w:rsidP="00CD44A8">
            <w:pPr>
              <w:rPr>
                <w:lang w:val="es-AR"/>
              </w:rPr>
            </w:pPr>
            <w:r>
              <w:rPr>
                <w:lang w:val="es-ES" w:eastAsia="es-ES"/>
              </w:rPr>
              <w:t>Indicador de impacto 3: Prevalencia del VIH en la población entre las edades de 15 y 24 años (total/femenina/masculina)</w:t>
            </w:r>
          </w:p>
        </w:tc>
        <w:tc>
          <w:tcPr>
            <w:tcW w:w="930" w:type="dxa"/>
            <w:gridSpan w:val="2"/>
          </w:tcPr>
          <w:p w:rsidR="00543AC4" w:rsidRDefault="00543AC4" w:rsidP="002F561D">
            <w:r>
              <w:rPr>
                <w:lang w:val="es-ES" w:eastAsia="es-ES"/>
              </w:rPr>
              <w:t>0,4/</w:t>
            </w:r>
          </w:p>
          <w:p w:rsidR="00543AC4" w:rsidRDefault="00543AC4" w:rsidP="002F561D">
            <w:r>
              <w:rPr>
                <w:lang w:val="es-ES" w:eastAsia="es-ES"/>
              </w:rPr>
              <w:t>0,5/</w:t>
            </w:r>
          </w:p>
          <w:p w:rsidR="00543AC4" w:rsidRPr="001A26EA" w:rsidRDefault="00543AC4" w:rsidP="002F561D">
            <w:r w:rsidRPr="001A26EA">
              <w:t>0.3</w:t>
            </w:r>
          </w:p>
        </w:tc>
        <w:tc>
          <w:tcPr>
            <w:tcW w:w="841" w:type="dxa"/>
          </w:tcPr>
          <w:p w:rsidR="00543AC4" w:rsidRPr="001A26EA" w:rsidRDefault="00543AC4" w:rsidP="002F561D">
            <w:r w:rsidRPr="001A26EA">
              <w:t> </w:t>
            </w:r>
          </w:p>
        </w:tc>
        <w:tc>
          <w:tcPr>
            <w:tcW w:w="886" w:type="dxa"/>
          </w:tcPr>
          <w:p w:rsidR="00543AC4" w:rsidRDefault="00543AC4" w:rsidP="002F561D">
            <w:r>
              <w:rPr>
                <w:lang w:val="es-ES" w:eastAsia="es-ES"/>
              </w:rPr>
              <w:t>0,33/</w:t>
            </w:r>
          </w:p>
          <w:p w:rsidR="00543AC4" w:rsidRDefault="00543AC4" w:rsidP="002F561D">
            <w:r>
              <w:rPr>
                <w:lang w:val="es-ES" w:eastAsia="es-ES"/>
              </w:rPr>
              <w:t>0,45/</w:t>
            </w:r>
          </w:p>
          <w:p w:rsidR="00543AC4" w:rsidRPr="001A26EA" w:rsidRDefault="00543AC4" w:rsidP="002F561D">
            <w:r w:rsidRPr="001A26EA">
              <w:t>0.22</w:t>
            </w:r>
          </w:p>
        </w:tc>
        <w:tc>
          <w:tcPr>
            <w:tcW w:w="886" w:type="dxa"/>
          </w:tcPr>
          <w:p w:rsidR="00543AC4" w:rsidRPr="001A26EA" w:rsidRDefault="00543AC4" w:rsidP="002F561D">
            <w:r w:rsidRPr="001A26EA">
              <w:t> </w:t>
            </w:r>
          </w:p>
        </w:tc>
        <w:tc>
          <w:tcPr>
            <w:tcW w:w="886" w:type="dxa"/>
          </w:tcPr>
          <w:p w:rsidR="00543AC4" w:rsidRDefault="00543AC4" w:rsidP="002F561D">
            <w:r>
              <w:rPr>
                <w:lang w:val="es-ES" w:eastAsia="es-ES"/>
              </w:rPr>
              <w:t>0,3/</w:t>
            </w:r>
          </w:p>
          <w:p w:rsidR="00543AC4" w:rsidRDefault="00543AC4" w:rsidP="002F561D">
            <w:r>
              <w:rPr>
                <w:lang w:val="es-ES" w:eastAsia="es-ES"/>
              </w:rPr>
              <w:t>0,4/</w:t>
            </w:r>
          </w:p>
          <w:p w:rsidR="00543AC4" w:rsidRPr="001A26EA" w:rsidRDefault="00543AC4" w:rsidP="002F561D">
            <w:r w:rsidRPr="001A26EA">
              <w:t>0.2</w:t>
            </w:r>
          </w:p>
        </w:tc>
        <w:tc>
          <w:tcPr>
            <w:tcW w:w="1710" w:type="dxa"/>
          </w:tcPr>
          <w:p w:rsidR="00543AC4" w:rsidRPr="00204B43" w:rsidRDefault="00543AC4" w:rsidP="00600170">
            <w:pPr>
              <w:rPr>
                <w:lang w:val="es-CO"/>
              </w:rPr>
            </w:pPr>
            <w:r w:rsidRPr="008870BB">
              <w:rPr>
                <w:lang w:val="es-CO" w:eastAsia="es-ES"/>
              </w:rPr>
              <w:t>Bases de datos d</w:t>
            </w:r>
            <w:r>
              <w:rPr>
                <w:lang w:val="es-CO" w:eastAsia="es-ES"/>
              </w:rPr>
              <w:t xml:space="preserve">e </w:t>
            </w:r>
            <w:r w:rsidRPr="008870BB">
              <w:rPr>
                <w:lang w:val="es-CO" w:eastAsia="es-ES"/>
              </w:rPr>
              <w:t xml:space="preserve"> UNFPA MDG5b+Info </w:t>
            </w:r>
          </w:p>
        </w:tc>
      </w:tr>
      <w:tr w:rsidR="00543AC4" w:rsidRPr="00600170" w:rsidTr="000C4ABA">
        <w:trPr>
          <w:trHeight w:val="600"/>
        </w:trPr>
        <w:tc>
          <w:tcPr>
            <w:tcW w:w="4107" w:type="dxa"/>
            <w:gridSpan w:val="4"/>
            <w:vMerge/>
            <w:shd w:val="clear" w:color="auto" w:fill="BFBFBF"/>
          </w:tcPr>
          <w:p w:rsidR="00543AC4" w:rsidRPr="00204B43" w:rsidRDefault="00543AC4" w:rsidP="002F561D">
            <w:pPr>
              <w:rPr>
                <w:lang w:val="es-CO"/>
              </w:rPr>
            </w:pPr>
          </w:p>
        </w:tc>
        <w:tc>
          <w:tcPr>
            <w:tcW w:w="3434" w:type="dxa"/>
            <w:gridSpan w:val="3"/>
          </w:tcPr>
          <w:p w:rsidR="00543AC4" w:rsidRPr="00BD26C5" w:rsidRDefault="00543AC4" w:rsidP="00CD44A8">
            <w:pPr>
              <w:rPr>
                <w:lang w:val="es-AR"/>
              </w:rPr>
            </w:pPr>
            <w:r>
              <w:rPr>
                <w:lang w:val="es-ES" w:eastAsia="es-ES"/>
              </w:rPr>
              <w:t xml:space="preserve">Indicador de impacto 4: Porcentaje de mujeres de 20 a 24 casadas/en </w:t>
            </w:r>
            <w:r w:rsidR="00A22828">
              <w:rPr>
                <w:lang w:val="es-ES" w:eastAsia="es-ES"/>
              </w:rPr>
              <w:t>unión antes</w:t>
            </w:r>
            <w:r>
              <w:rPr>
                <w:lang w:val="es-ES" w:eastAsia="es-ES"/>
              </w:rPr>
              <w:t xml:space="preserve"> de los 18 años de edad</w:t>
            </w:r>
          </w:p>
        </w:tc>
        <w:tc>
          <w:tcPr>
            <w:tcW w:w="930" w:type="dxa"/>
            <w:gridSpan w:val="2"/>
          </w:tcPr>
          <w:p w:rsidR="00543AC4" w:rsidRPr="001A26EA" w:rsidRDefault="00543AC4" w:rsidP="002F561D">
            <w:r w:rsidRPr="001A26EA">
              <w:t>33.5</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29</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27</w:t>
            </w:r>
          </w:p>
        </w:tc>
        <w:tc>
          <w:tcPr>
            <w:tcW w:w="1710" w:type="dxa"/>
          </w:tcPr>
          <w:p w:rsidR="00543AC4" w:rsidRPr="00BD26C5" w:rsidRDefault="00543AC4" w:rsidP="00204B43">
            <w:pPr>
              <w:rPr>
                <w:lang w:val="es-AR"/>
              </w:rPr>
            </w:pPr>
            <w:r>
              <w:rPr>
                <w:lang w:val="es-ES" w:eastAsia="es-ES"/>
              </w:rPr>
              <w:t>Base de datos de UNFPA: MDG5b+Info</w:t>
            </w:r>
          </w:p>
        </w:tc>
      </w:tr>
      <w:tr w:rsidR="00543AC4" w:rsidRPr="00600170" w:rsidTr="000C4ABA">
        <w:trPr>
          <w:trHeight w:val="1061"/>
        </w:trPr>
        <w:tc>
          <w:tcPr>
            <w:tcW w:w="4107" w:type="dxa"/>
            <w:gridSpan w:val="4"/>
            <w:vMerge/>
            <w:shd w:val="clear" w:color="auto" w:fill="BFBFBF"/>
          </w:tcPr>
          <w:p w:rsidR="00543AC4" w:rsidRPr="00BD26C5" w:rsidRDefault="00543AC4" w:rsidP="002F561D">
            <w:pPr>
              <w:rPr>
                <w:lang w:val="es-AR"/>
              </w:rPr>
            </w:pPr>
          </w:p>
        </w:tc>
        <w:tc>
          <w:tcPr>
            <w:tcW w:w="3434" w:type="dxa"/>
            <w:gridSpan w:val="3"/>
          </w:tcPr>
          <w:p w:rsidR="00543AC4" w:rsidRPr="00BD26C5" w:rsidRDefault="00543AC4" w:rsidP="00CD44A8">
            <w:pPr>
              <w:rPr>
                <w:lang w:val="es-AR"/>
              </w:rPr>
            </w:pPr>
            <w:r>
              <w:rPr>
                <w:lang w:val="es-ES" w:eastAsia="es-ES"/>
              </w:rPr>
              <w:t xml:space="preserve">Indicador de impacto 5: Proporción de mujeres de 15 a 49 casadas alguna vez o en </w:t>
            </w:r>
            <w:r w:rsidR="00A22828">
              <w:rPr>
                <w:lang w:val="es-ES" w:eastAsia="es-ES"/>
              </w:rPr>
              <w:t>unión que</w:t>
            </w:r>
            <w:r>
              <w:rPr>
                <w:lang w:val="es-ES" w:eastAsia="es-ES"/>
              </w:rPr>
              <w:t xml:space="preserve"> experimentaron violencia física o sexual por parte de su pareja masculina en los últimos 12 meses</w:t>
            </w:r>
          </w:p>
        </w:tc>
        <w:tc>
          <w:tcPr>
            <w:tcW w:w="930" w:type="dxa"/>
            <w:gridSpan w:val="2"/>
          </w:tcPr>
          <w:p w:rsidR="00543AC4" w:rsidRPr="001A26EA" w:rsidRDefault="00543AC4" w:rsidP="002F561D">
            <w:r w:rsidRPr="001A26EA">
              <w:t>28.5</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24</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22.5</w:t>
            </w:r>
          </w:p>
        </w:tc>
        <w:tc>
          <w:tcPr>
            <w:tcW w:w="1710" w:type="dxa"/>
          </w:tcPr>
          <w:p w:rsidR="00543AC4" w:rsidRPr="00BD26C5" w:rsidRDefault="00543AC4" w:rsidP="00600170">
            <w:pPr>
              <w:rPr>
                <w:lang w:val="es-AR"/>
              </w:rPr>
            </w:pPr>
            <w:r>
              <w:rPr>
                <w:lang w:val="es-ES" w:eastAsia="es-ES"/>
              </w:rPr>
              <w:t>Base de datos de  UNFPA: MDG5b+Info</w:t>
            </w:r>
          </w:p>
        </w:tc>
      </w:tr>
      <w:tr w:rsidR="00543AC4" w:rsidRPr="00600170" w:rsidTr="000C4ABA">
        <w:trPr>
          <w:trHeight w:val="1215"/>
        </w:trPr>
        <w:tc>
          <w:tcPr>
            <w:tcW w:w="4107" w:type="dxa"/>
            <w:gridSpan w:val="4"/>
            <w:vMerge/>
            <w:shd w:val="clear" w:color="auto" w:fill="BFBFBF"/>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de impacto 6: Número de países que han ratificado el Pacto de Derechos Económicos, Sociales y Culturales, la Convención sobre la Eliminación de Todas las Formas de Discriminación contra las Mujeres, la Convención sobre los Derechos de Personas con Discapacidades y sus respectivos protocolos opcionales</w:t>
            </w:r>
          </w:p>
        </w:tc>
        <w:tc>
          <w:tcPr>
            <w:tcW w:w="930" w:type="dxa"/>
            <w:gridSpan w:val="2"/>
          </w:tcPr>
          <w:p w:rsidR="00543AC4" w:rsidRPr="001A26EA" w:rsidRDefault="00543AC4" w:rsidP="002F561D">
            <w:r>
              <w:t>10</w:t>
            </w:r>
          </w:p>
        </w:tc>
        <w:tc>
          <w:tcPr>
            <w:tcW w:w="841" w:type="dxa"/>
          </w:tcPr>
          <w:p w:rsidR="00543AC4" w:rsidRPr="001A26EA" w:rsidRDefault="00543AC4" w:rsidP="002F561D"/>
        </w:tc>
        <w:tc>
          <w:tcPr>
            <w:tcW w:w="886" w:type="dxa"/>
          </w:tcPr>
          <w:p w:rsidR="00543AC4" w:rsidRPr="001A26EA" w:rsidRDefault="00543AC4" w:rsidP="002F561D">
            <w:r>
              <w:t>20</w:t>
            </w:r>
          </w:p>
        </w:tc>
        <w:tc>
          <w:tcPr>
            <w:tcW w:w="886" w:type="dxa"/>
          </w:tcPr>
          <w:p w:rsidR="00543AC4" w:rsidRPr="001A26EA" w:rsidRDefault="00543AC4" w:rsidP="002F561D"/>
        </w:tc>
        <w:tc>
          <w:tcPr>
            <w:tcW w:w="886" w:type="dxa"/>
          </w:tcPr>
          <w:p w:rsidR="00543AC4" w:rsidRPr="001A26EA" w:rsidRDefault="00543AC4" w:rsidP="002F561D">
            <w:r>
              <w:t>30</w:t>
            </w:r>
          </w:p>
        </w:tc>
        <w:tc>
          <w:tcPr>
            <w:tcW w:w="1710" w:type="dxa"/>
          </w:tcPr>
          <w:p w:rsidR="00543AC4" w:rsidRPr="00BD26C5" w:rsidRDefault="00543AC4" w:rsidP="002F561D">
            <w:pPr>
              <w:rPr>
                <w:lang w:val="es-AR"/>
              </w:rPr>
            </w:pPr>
            <w:r>
              <w:rPr>
                <w:lang w:val="es-ES" w:eastAsia="es-ES"/>
              </w:rPr>
              <w:t>Base de datos del UNFPA compilada a partir de órganos creados en virtud de tratados</w:t>
            </w:r>
          </w:p>
          <w:p w:rsidR="00543AC4" w:rsidRPr="00BD26C5" w:rsidRDefault="00543AC4" w:rsidP="002F561D">
            <w:pPr>
              <w:rPr>
                <w:lang w:val="es-AR"/>
              </w:rPr>
            </w:pPr>
          </w:p>
        </w:tc>
      </w:tr>
      <w:tr w:rsidR="00543AC4" w:rsidRPr="005144F6" w:rsidTr="000C4ABA">
        <w:trPr>
          <w:trHeight w:val="467"/>
        </w:trPr>
        <w:tc>
          <w:tcPr>
            <w:tcW w:w="804" w:type="dxa"/>
            <w:vMerge w:val="restart"/>
            <w:noWrap/>
          </w:tcPr>
          <w:p w:rsidR="00543AC4" w:rsidRPr="00BD26C5" w:rsidRDefault="00543AC4" w:rsidP="002F561D">
            <w:pPr>
              <w:rPr>
                <w:lang w:val="es-AR"/>
              </w:rPr>
            </w:pPr>
          </w:p>
        </w:tc>
        <w:tc>
          <w:tcPr>
            <w:tcW w:w="3303" w:type="dxa"/>
            <w:gridSpan w:val="3"/>
            <w:vMerge w:val="restart"/>
            <w:shd w:val="clear" w:color="auto" w:fill="D9D9D9"/>
          </w:tcPr>
          <w:p w:rsidR="00543AC4" w:rsidRPr="00BD26C5" w:rsidRDefault="00543AC4" w:rsidP="002F561D">
            <w:pPr>
              <w:rPr>
                <w:lang w:val="es-AR"/>
              </w:rPr>
            </w:pPr>
            <w:r>
              <w:rPr>
                <w:b/>
                <w:bCs/>
                <w:lang w:val="es-ES" w:eastAsia="es-ES"/>
              </w:rPr>
              <w:t>Resultado final 1:</w:t>
            </w:r>
            <w:r>
              <w:rPr>
                <w:lang w:val="es-ES" w:eastAsia="es-ES"/>
              </w:rPr>
              <w:t xml:space="preserve"> Mayor disponibilidad y uso de servicios de salud sexual y reproductiva integrados (incluida la planificación de la familia, la salud materna y el VIH) que tienen en cuenta las cuestiones de género y </w:t>
            </w:r>
            <w:r>
              <w:rPr>
                <w:lang w:val="es-ES" w:eastAsia="es-ES"/>
              </w:rPr>
              <w:lastRenderedPageBreak/>
              <w:t>cumplen con las normas de los derechos humanos para la calidad del cuidado y la igualdad del acceso</w:t>
            </w:r>
          </w:p>
        </w:tc>
        <w:tc>
          <w:tcPr>
            <w:tcW w:w="3434" w:type="dxa"/>
            <w:gridSpan w:val="3"/>
          </w:tcPr>
          <w:p w:rsidR="00543AC4" w:rsidRPr="00BD26C5" w:rsidRDefault="00543AC4" w:rsidP="002F561D">
            <w:pPr>
              <w:rPr>
                <w:lang w:val="es-AR"/>
              </w:rPr>
            </w:pPr>
            <w:r>
              <w:rPr>
                <w:lang w:val="es-ES" w:eastAsia="es-ES"/>
              </w:rPr>
              <w:lastRenderedPageBreak/>
              <w:t xml:space="preserve">Indicador 1 del resultado final 1: Porcentaje de los países en los que al menos un 95% de los puntos de prestación de servicio tienen siete medicinas de la salud materna/reproductiva de la lista de </w:t>
            </w:r>
            <w:r>
              <w:rPr>
                <w:lang w:val="es-ES" w:eastAsia="es-ES"/>
              </w:rPr>
              <w:lastRenderedPageBreak/>
              <w:t>prioridad de la OSM</w:t>
            </w:r>
          </w:p>
        </w:tc>
        <w:tc>
          <w:tcPr>
            <w:tcW w:w="930" w:type="dxa"/>
            <w:gridSpan w:val="2"/>
          </w:tcPr>
          <w:p w:rsidR="00543AC4" w:rsidRPr="001A26EA" w:rsidRDefault="00543AC4" w:rsidP="002F561D">
            <w:r>
              <w:rPr>
                <w:lang w:val="es-ES" w:eastAsia="es-ES"/>
              </w:rPr>
              <w:lastRenderedPageBreak/>
              <w:t>32%</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40</w:t>
            </w:r>
            <w:r>
              <w:t>%</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50</w:t>
            </w:r>
            <w:r>
              <w:t>%</w:t>
            </w:r>
          </w:p>
        </w:tc>
        <w:tc>
          <w:tcPr>
            <w:tcW w:w="1710" w:type="dxa"/>
          </w:tcPr>
          <w:p w:rsidR="00543AC4" w:rsidRDefault="00543AC4" w:rsidP="00962EDD">
            <w:pPr>
              <w:rPr>
                <w:lang w:val="es-ES" w:eastAsia="es-ES"/>
              </w:rPr>
            </w:pPr>
            <w:r>
              <w:rPr>
                <w:lang w:val="es-ES" w:eastAsia="es-ES"/>
              </w:rPr>
              <w:t>Informes anuales de las oficinas de  país</w:t>
            </w:r>
          </w:p>
          <w:p w:rsidR="00543AC4" w:rsidRPr="00BD26C5" w:rsidRDefault="00543AC4" w:rsidP="00962EDD">
            <w:pPr>
              <w:rPr>
                <w:lang w:val="es-AR"/>
              </w:rPr>
            </w:pPr>
            <w:r>
              <w:rPr>
                <w:lang w:val="es-ES" w:eastAsia="es-ES"/>
              </w:rPr>
              <w:t>(COAR)</w:t>
            </w:r>
          </w:p>
        </w:tc>
      </w:tr>
      <w:tr w:rsidR="00543AC4" w:rsidRPr="00600170" w:rsidTr="000C4ABA">
        <w:trPr>
          <w:trHeight w:val="386"/>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600170">
            <w:pPr>
              <w:rPr>
                <w:lang w:val="es-AR"/>
              </w:rPr>
            </w:pPr>
            <w:r>
              <w:rPr>
                <w:lang w:val="es-ES" w:eastAsia="es-ES"/>
              </w:rPr>
              <w:t>Indicador 2 del resultado final 1: Prevalencia de uso de métodos anticonceptivos</w:t>
            </w:r>
          </w:p>
        </w:tc>
        <w:tc>
          <w:tcPr>
            <w:tcW w:w="930" w:type="dxa"/>
            <w:gridSpan w:val="2"/>
          </w:tcPr>
          <w:p w:rsidR="00543AC4" w:rsidRPr="001A26EA" w:rsidRDefault="00543AC4" w:rsidP="002F561D">
            <w:r w:rsidRPr="001A26EA">
              <w:t>63</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68</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70</w:t>
            </w:r>
          </w:p>
        </w:tc>
        <w:tc>
          <w:tcPr>
            <w:tcW w:w="1710" w:type="dxa"/>
          </w:tcPr>
          <w:p w:rsidR="00543AC4" w:rsidRPr="00BD26C5" w:rsidRDefault="00543AC4" w:rsidP="00600170">
            <w:pPr>
              <w:rPr>
                <w:highlight w:val="yellow"/>
                <w:lang w:val="es-AR"/>
              </w:rPr>
            </w:pPr>
            <w:r>
              <w:rPr>
                <w:lang w:val="es-ES" w:eastAsia="es-ES"/>
              </w:rPr>
              <w:t xml:space="preserve">Base de datos de UNFPA: MDG5b+Info </w:t>
            </w:r>
          </w:p>
        </w:tc>
      </w:tr>
      <w:tr w:rsidR="00543AC4" w:rsidRPr="00600170" w:rsidTr="000C4ABA">
        <w:trPr>
          <w:trHeight w:val="125"/>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3 del resultado final 1: Proporción de la demanda satisfecha de anticonceptivos (total)</w:t>
            </w:r>
          </w:p>
        </w:tc>
        <w:tc>
          <w:tcPr>
            <w:tcW w:w="930" w:type="dxa"/>
            <w:gridSpan w:val="2"/>
          </w:tcPr>
          <w:p w:rsidR="00543AC4" w:rsidRPr="001A26EA" w:rsidRDefault="00543AC4" w:rsidP="002F561D">
            <w:r w:rsidRPr="001A26EA">
              <w:t>84</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88</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90</w:t>
            </w:r>
          </w:p>
        </w:tc>
        <w:tc>
          <w:tcPr>
            <w:tcW w:w="1710" w:type="dxa"/>
          </w:tcPr>
          <w:p w:rsidR="00543AC4" w:rsidRPr="00BD26C5" w:rsidRDefault="00543AC4" w:rsidP="00600170">
            <w:pPr>
              <w:rPr>
                <w:lang w:val="es-AR"/>
              </w:rPr>
            </w:pPr>
            <w:r>
              <w:rPr>
                <w:lang w:val="es-ES" w:eastAsia="es-ES"/>
              </w:rPr>
              <w:t xml:space="preserve">Base de datos de UNFPA: MDG5b+Info  </w:t>
            </w:r>
          </w:p>
        </w:tc>
      </w:tr>
      <w:tr w:rsidR="00543AC4" w:rsidRPr="00600170" w:rsidTr="000C4ABA">
        <w:trPr>
          <w:trHeight w:val="593"/>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4 del resultado final 1: Porcentaje de países en los que al menos un 60% de los puntos de prestación de servicios no han tenido desabastecimiento de anticonceptivos en los últimos seis meses</w:t>
            </w:r>
          </w:p>
        </w:tc>
        <w:tc>
          <w:tcPr>
            <w:tcW w:w="930" w:type="dxa"/>
            <w:gridSpan w:val="2"/>
          </w:tcPr>
          <w:p w:rsidR="00543AC4" w:rsidRPr="00E82249" w:rsidRDefault="00543AC4" w:rsidP="002F561D">
            <w:pPr>
              <w:rPr>
                <w:iCs/>
              </w:rPr>
            </w:pPr>
            <w:r>
              <w:rPr>
                <w:lang w:val="es-ES" w:eastAsia="es-ES"/>
              </w:rPr>
              <w:t>73%</w:t>
            </w:r>
          </w:p>
        </w:tc>
        <w:tc>
          <w:tcPr>
            <w:tcW w:w="841" w:type="dxa"/>
          </w:tcPr>
          <w:p w:rsidR="00543AC4" w:rsidRPr="00E82249" w:rsidRDefault="00543AC4" w:rsidP="002F561D"/>
        </w:tc>
        <w:tc>
          <w:tcPr>
            <w:tcW w:w="886" w:type="dxa"/>
          </w:tcPr>
          <w:p w:rsidR="00543AC4" w:rsidRPr="00E82249" w:rsidRDefault="00543AC4" w:rsidP="002F561D">
            <w:pPr>
              <w:rPr>
                <w:iCs/>
              </w:rPr>
            </w:pPr>
            <w:r>
              <w:rPr>
                <w:lang w:val="es-ES" w:eastAsia="es-ES"/>
              </w:rPr>
              <w:t>75%</w:t>
            </w:r>
          </w:p>
        </w:tc>
        <w:tc>
          <w:tcPr>
            <w:tcW w:w="886" w:type="dxa"/>
          </w:tcPr>
          <w:p w:rsidR="00543AC4" w:rsidRPr="00E82249" w:rsidRDefault="00543AC4" w:rsidP="002F561D"/>
        </w:tc>
        <w:tc>
          <w:tcPr>
            <w:tcW w:w="886" w:type="dxa"/>
          </w:tcPr>
          <w:p w:rsidR="00543AC4" w:rsidRPr="00E82249" w:rsidRDefault="00543AC4" w:rsidP="002F561D">
            <w:pPr>
              <w:rPr>
                <w:iCs/>
              </w:rPr>
            </w:pPr>
            <w:r>
              <w:rPr>
                <w:lang w:val="es-ES" w:eastAsia="es-ES"/>
              </w:rPr>
              <w:t>80%</w:t>
            </w:r>
          </w:p>
        </w:tc>
        <w:tc>
          <w:tcPr>
            <w:tcW w:w="1710" w:type="dxa"/>
          </w:tcPr>
          <w:p w:rsidR="00543AC4" w:rsidRPr="00BD26C5" w:rsidRDefault="00543AC4" w:rsidP="00600170">
            <w:pPr>
              <w:rPr>
                <w:lang w:val="es-AR"/>
              </w:rPr>
            </w:pPr>
            <w:r>
              <w:rPr>
                <w:lang w:val="es-ES" w:eastAsia="es-ES"/>
              </w:rPr>
              <w:t>Informes anuales de las oficinas de país</w:t>
            </w:r>
            <w:r>
              <w:rPr>
                <w:lang w:val="es-ES" w:eastAsia="es-ES"/>
              </w:rPr>
              <w:br/>
            </w:r>
          </w:p>
        </w:tc>
      </w:tr>
      <w:tr w:rsidR="00543AC4" w:rsidRPr="00600170" w:rsidTr="000C4ABA">
        <w:trPr>
          <w:trHeight w:val="9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AC10D1">
            <w:pPr>
              <w:rPr>
                <w:lang w:val="es-AR"/>
              </w:rPr>
            </w:pPr>
            <w:r>
              <w:rPr>
                <w:lang w:val="es-ES" w:eastAsia="es-ES"/>
              </w:rPr>
              <w:t>Indicador 5 del resultado final 1: Porcentaje de los países en los que al menos un 80% de los nacidos vivos son atendidos por personal de salud cualificado</w:t>
            </w:r>
          </w:p>
        </w:tc>
        <w:tc>
          <w:tcPr>
            <w:tcW w:w="930" w:type="dxa"/>
            <w:gridSpan w:val="2"/>
          </w:tcPr>
          <w:p w:rsidR="00543AC4" w:rsidRPr="001A26EA" w:rsidRDefault="00543AC4" w:rsidP="002F561D">
            <w:r w:rsidRPr="001A26EA">
              <w:t>53</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61</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65</w:t>
            </w:r>
          </w:p>
        </w:tc>
        <w:tc>
          <w:tcPr>
            <w:tcW w:w="1710" w:type="dxa"/>
          </w:tcPr>
          <w:p w:rsidR="00543AC4" w:rsidRPr="00BD26C5" w:rsidRDefault="00543AC4" w:rsidP="00600170">
            <w:pPr>
              <w:rPr>
                <w:lang w:val="es-AR"/>
              </w:rPr>
            </w:pPr>
            <w:r>
              <w:rPr>
                <w:lang w:val="es-ES" w:eastAsia="es-ES"/>
              </w:rPr>
              <w:t>Base de datos de UNFPA: MDG5b+Info</w:t>
            </w:r>
          </w:p>
        </w:tc>
      </w:tr>
      <w:tr w:rsidR="00543AC4" w:rsidRPr="005144F6" w:rsidTr="000C4ABA">
        <w:trPr>
          <w:trHeight w:val="12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AC10D1">
            <w:pPr>
              <w:rPr>
                <w:lang w:val="es-AR"/>
              </w:rPr>
            </w:pPr>
            <w:r>
              <w:rPr>
                <w:lang w:val="es-ES" w:eastAsia="es-ES"/>
              </w:rPr>
              <w:t>Indicador 6 del resultado final 1: Número de países que han adaptado y aplicado protocolos para los servicios de planificación de la familia que cumplen con las normas de los derechos humanos, incluida la libertad para vivir sin discriminación, coerción y violencia</w:t>
            </w:r>
          </w:p>
        </w:tc>
        <w:tc>
          <w:tcPr>
            <w:tcW w:w="930" w:type="dxa"/>
            <w:gridSpan w:val="2"/>
          </w:tcPr>
          <w:p w:rsidR="00543AC4" w:rsidRPr="001A26EA" w:rsidRDefault="00543AC4" w:rsidP="002F561D">
            <w:r w:rsidRPr="001A26EA">
              <w:t>0</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6</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23</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600170" w:rsidTr="000C4ABA">
        <w:trPr>
          <w:trHeight w:val="12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987E93">
            <w:pPr>
              <w:rPr>
                <w:lang w:val="es-AR"/>
              </w:rPr>
            </w:pPr>
            <w:r>
              <w:rPr>
                <w:lang w:val="es-ES" w:eastAsia="es-ES"/>
              </w:rPr>
              <w:t>Indicador 7 del resultado final 1: Porcentaje de mujeres y hombres de 15 a 49 años que han tenido más de una pareja sexual en los últimos 12 meses quienes informaron el uso de preservativo durante la última relación sexual (femenino/masculino)</w:t>
            </w:r>
          </w:p>
        </w:tc>
        <w:tc>
          <w:tcPr>
            <w:tcW w:w="930" w:type="dxa"/>
            <w:gridSpan w:val="2"/>
          </w:tcPr>
          <w:p w:rsidR="00543AC4" w:rsidRDefault="00543AC4" w:rsidP="002F561D">
            <w:r>
              <w:rPr>
                <w:lang w:val="es-ES" w:eastAsia="es-ES"/>
              </w:rPr>
              <w:t>19%/</w:t>
            </w:r>
          </w:p>
          <w:p w:rsidR="00543AC4" w:rsidRPr="001A26EA" w:rsidRDefault="00543AC4" w:rsidP="002F561D">
            <w:r>
              <w:rPr>
                <w:lang w:val="es-ES" w:eastAsia="es-ES"/>
              </w:rPr>
              <w:t>24%</w:t>
            </w:r>
          </w:p>
        </w:tc>
        <w:tc>
          <w:tcPr>
            <w:tcW w:w="841" w:type="dxa"/>
          </w:tcPr>
          <w:p w:rsidR="00543AC4" w:rsidRPr="001A26EA" w:rsidRDefault="00543AC4" w:rsidP="002F561D">
            <w:r w:rsidRPr="001A26EA">
              <w:t> </w:t>
            </w:r>
          </w:p>
        </w:tc>
        <w:tc>
          <w:tcPr>
            <w:tcW w:w="886" w:type="dxa"/>
          </w:tcPr>
          <w:p w:rsidR="00543AC4" w:rsidRDefault="00543AC4" w:rsidP="002F561D">
            <w:r>
              <w:rPr>
                <w:lang w:val="es-ES" w:eastAsia="es-ES"/>
              </w:rPr>
              <w:t>22%/</w:t>
            </w:r>
          </w:p>
          <w:p w:rsidR="00543AC4" w:rsidRPr="001A26EA" w:rsidRDefault="00543AC4" w:rsidP="002F561D">
            <w:r>
              <w:rPr>
                <w:lang w:val="es-ES" w:eastAsia="es-ES"/>
              </w:rPr>
              <w:t>28%</w:t>
            </w:r>
          </w:p>
        </w:tc>
        <w:tc>
          <w:tcPr>
            <w:tcW w:w="886" w:type="dxa"/>
          </w:tcPr>
          <w:p w:rsidR="00543AC4" w:rsidRPr="001A26EA" w:rsidRDefault="00543AC4" w:rsidP="002F561D">
            <w:r w:rsidRPr="001A26EA">
              <w:t> </w:t>
            </w:r>
          </w:p>
        </w:tc>
        <w:tc>
          <w:tcPr>
            <w:tcW w:w="886" w:type="dxa"/>
          </w:tcPr>
          <w:p w:rsidR="00543AC4" w:rsidRDefault="00543AC4" w:rsidP="002F561D">
            <w:r>
              <w:rPr>
                <w:lang w:val="es-ES" w:eastAsia="es-ES"/>
              </w:rPr>
              <w:t>24%/</w:t>
            </w:r>
          </w:p>
          <w:p w:rsidR="00543AC4" w:rsidRPr="001A26EA" w:rsidRDefault="00543AC4" w:rsidP="002F561D">
            <w:r>
              <w:rPr>
                <w:lang w:val="es-ES" w:eastAsia="es-ES"/>
              </w:rPr>
              <w:t>30%</w:t>
            </w:r>
          </w:p>
        </w:tc>
        <w:tc>
          <w:tcPr>
            <w:tcW w:w="1710" w:type="dxa"/>
          </w:tcPr>
          <w:p w:rsidR="00543AC4" w:rsidRPr="00BD26C5" w:rsidRDefault="00543AC4" w:rsidP="002F561D">
            <w:pPr>
              <w:rPr>
                <w:lang w:val="es-AR"/>
              </w:rPr>
            </w:pPr>
            <w:r>
              <w:rPr>
                <w:lang w:val="es-ES" w:eastAsia="es-ES"/>
              </w:rPr>
              <w:t xml:space="preserve">Base de datos de UNFPA: MDG5b+Info  </w:t>
            </w:r>
          </w:p>
        </w:tc>
      </w:tr>
      <w:tr w:rsidR="00543AC4" w:rsidRPr="005144F6" w:rsidTr="000C4ABA">
        <w:trPr>
          <w:trHeight w:val="9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0E419B">
            <w:pPr>
              <w:rPr>
                <w:lang w:val="es-AR"/>
              </w:rPr>
            </w:pPr>
            <w:r>
              <w:rPr>
                <w:lang w:val="es-ES" w:eastAsia="es-ES"/>
              </w:rPr>
              <w:t>Indicador 8 del resultado final 1: Número de países que han aumentado el presupuesto nacional para la salud sexual y reproductiva al menos en un 5 por ciento</w:t>
            </w:r>
          </w:p>
        </w:tc>
        <w:tc>
          <w:tcPr>
            <w:tcW w:w="930" w:type="dxa"/>
            <w:gridSpan w:val="2"/>
          </w:tcPr>
          <w:p w:rsidR="00543AC4" w:rsidRPr="001A26EA" w:rsidRDefault="00543AC4" w:rsidP="002F561D">
            <w:r w:rsidRPr="001A26EA">
              <w:t>0</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21</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42</w:t>
            </w:r>
          </w:p>
        </w:tc>
        <w:tc>
          <w:tcPr>
            <w:tcW w:w="1710" w:type="dxa"/>
          </w:tcPr>
          <w:p w:rsidR="00543AC4" w:rsidRDefault="00543AC4" w:rsidP="002F561D">
            <w:pPr>
              <w:rPr>
                <w:lang w:val="es-ES" w:eastAsia="es-ES"/>
              </w:rPr>
            </w:pPr>
            <w:r>
              <w:rPr>
                <w:lang w:val="es-ES" w:eastAsia="es-ES"/>
              </w:rPr>
              <w:t>Informes anuales de las oficinas de país</w:t>
            </w:r>
          </w:p>
          <w:p w:rsidR="00543AC4" w:rsidRPr="00BD26C5" w:rsidRDefault="00543AC4" w:rsidP="002F561D">
            <w:pPr>
              <w:rPr>
                <w:lang w:val="es-AR"/>
              </w:rPr>
            </w:pPr>
          </w:p>
        </w:tc>
      </w:tr>
      <w:tr w:rsidR="00543AC4" w:rsidRPr="00600170" w:rsidTr="000C4ABA">
        <w:trPr>
          <w:trHeight w:val="9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AC10D1">
            <w:pPr>
              <w:rPr>
                <w:lang w:val="es-AR"/>
              </w:rPr>
            </w:pPr>
            <w:r>
              <w:rPr>
                <w:lang w:val="es-ES" w:eastAsia="es-ES"/>
              </w:rPr>
              <w:t>Indicador 9 del resultado final 1:  Número de resoluciones adoptadas por órganos regionales que incluyen compromisos específicos sobre la salud sexual y reproductiva</w:t>
            </w:r>
          </w:p>
        </w:tc>
        <w:tc>
          <w:tcPr>
            <w:tcW w:w="930" w:type="dxa"/>
            <w:gridSpan w:val="2"/>
          </w:tcPr>
          <w:p w:rsidR="00543AC4" w:rsidRPr="00387219" w:rsidRDefault="00543AC4" w:rsidP="002F561D">
            <w:pPr>
              <w:rPr>
                <w:iCs/>
              </w:rPr>
            </w:pPr>
            <w:r>
              <w:rPr>
                <w:lang w:val="es-ES" w:eastAsia="es-ES"/>
              </w:rPr>
              <w:t>No aplica</w:t>
            </w:r>
          </w:p>
        </w:tc>
        <w:tc>
          <w:tcPr>
            <w:tcW w:w="841" w:type="dxa"/>
          </w:tcPr>
          <w:p w:rsidR="00543AC4" w:rsidRPr="00387219" w:rsidRDefault="00543AC4" w:rsidP="002F561D"/>
        </w:tc>
        <w:tc>
          <w:tcPr>
            <w:tcW w:w="886" w:type="dxa"/>
          </w:tcPr>
          <w:p w:rsidR="00543AC4" w:rsidRPr="00387219" w:rsidRDefault="00543AC4" w:rsidP="002F561D">
            <w:pPr>
              <w:rPr>
                <w:iCs/>
              </w:rPr>
            </w:pPr>
            <w:r>
              <w:rPr>
                <w:iCs/>
              </w:rPr>
              <w:t>24</w:t>
            </w:r>
          </w:p>
        </w:tc>
        <w:tc>
          <w:tcPr>
            <w:tcW w:w="886" w:type="dxa"/>
          </w:tcPr>
          <w:p w:rsidR="00543AC4" w:rsidRPr="00387219" w:rsidRDefault="00543AC4" w:rsidP="002F561D"/>
        </w:tc>
        <w:tc>
          <w:tcPr>
            <w:tcW w:w="886" w:type="dxa"/>
          </w:tcPr>
          <w:p w:rsidR="00543AC4" w:rsidRPr="00387219" w:rsidRDefault="00543AC4" w:rsidP="002F561D">
            <w:pPr>
              <w:rPr>
                <w:iCs/>
              </w:rPr>
            </w:pPr>
            <w:r>
              <w:rPr>
                <w:iCs/>
              </w:rPr>
              <w:t>48</w:t>
            </w:r>
          </w:p>
        </w:tc>
        <w:tc>
          <w:tcPr>
            <w:tcW w:w="1710" w:type="dxa"/>
          </w:tcPr>
          <w:p w:rsidR="00543AC4" w:rsidRPr="00BD26C5" w:rsidRDefault="00543AC4" w:rsidP="002F561D">
            <w:pPr>
              <w:rPr>
                <w:lang w:val="es-AR"/>
              </w:rPr>
            </w:pPr>
            <w:r>
              <w:rPr>
                <w:lang w:val="es-ES" w:eastAsia="es-ES"/>
              </w:rPr>
              <w:t>Informes anuales de las oficinas regionales</w:t>
            </w:r>
          </w:p>
        </w:tc>
      </w:tr>
      <w:tr w:rsidR="00543AC4" w:rsidRPr="00600170" w:rsidTr="000C4ABA">
        <w:trPr>
          <w:trHeight w:val="1215"/>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10 del resultado final 1: Porcentaje de la asistencia oficial para el desarrollo que se dedica a la salud materna y la planificación de la familia</w:t>
            </w:r>
          </w:p>
        </w:tc>
        <w:tc>
          <w:tcPr>
            <w:tcW w:w="930" w:type="dxa"/>
            <w:gridSpan w:val="2"/>
          </w:tcPr>
          <w:p w:rsidR="00543AC4" w:rsidRPr="001A26EA" w:rsidRDefault="00543AC4" w:rsidP="002F561D">
            <w:r>
              <w:rPr>
                <w:lang w:val="es-ES" w:eastAsia="es-ES"/>
              </w:rPr>
              <w:t>7,77% (2011)</w:t>
            </w:r>
          </w:p>
        </w:tc>
        <w:tc>
          <w:tcPr>
            <w:tcW w:w="841" w:type="dxa"/>
          </w:tcPr>
          <w:p w:rsidR="00543AC4" w:rsidRPr="001A26EA" w:rsidRDefault="00543AC4" w:rsidP="002F561D">
            <w:r w:rsidRPr="001A26EA">
              <w:t> </w:t>
            </w:r>
          </w:p>
        </w:tc>
        <w:tc>
          <w:tcPr>
            <w:tcW w:w="886" w:type="dxa"/>
          </w:tcPr>
          <w:p w:rsidR="00543AC4" w:rsidRPr="001A26EA" w:rsidRDefault="00543AC4" w:rsidP="002F561D">
            <w:r>
              <w:rPr>
                <w:lang w:val="es-ES" w:eastAsia="es-ES"/>
              </w:rPr>
              <w:t>8,00%</w:t>
            </w:r>
          </w:p>
        </w:tc>
        <w:tc>
          <w:tcPr>
            <w:tcW w:w="886" w:type="dxa"/>
          </w:tcPr>
          <w:p w:rsidR="00543AC4" w:rsidRPr="001A26EA" w:rsidRDefault="00543AC4" w:rsidP="002F561D">
            <w:r w:rsidRPr="001A26EA">
              <w:t> </w:t>
            </w:r>
          </w:p>
        </w:tc>
        <w:tc>
          <w:tcPr>
            <w:tcW w:w="886" w:type="dxa"/>
          </w:tcPr>
          <w:p w:rsidR="00543AC4" w:rsidRPr="001A26EA" w:rsidRDefault="00543AC4" w:rsidP="002F561D">
            <w:r>
              <w:rPr>
                <w:lang w:val="es-ES" w:eastAsia="es-ES"/>
              </w:rPr>
              <w:t>8,50%</w:t>
            </w:r>
          </w:p>
        </w:tc>
        <w:tc>
          <w:tcPr>
            <w:tcW w:w="1710" w:type="dxa"/>
          </w:tcPr>
          <w:p w:rsidR="00543AC4" w:rsidRPr="00BD26C5" w:rsidRDefault="00543AC4" w:rsidP="00C95EFC">
            <w:pPr>
              <w:rPr>
                <w:lang w:val="es-AR"/>
              </w:rPr>
            </w:pPr>
            <w:r>
              <w:rPr>
                <w:lang w:val="es-ES" w:eastAsia="es-ES"/>
              </w:rPr>
              <w:t>Informe del Secretario General sobre el flujo de recursos financieros para el Programa de Acción de la CIPD</w:t>
            </w:r>
          </w:p>
        </w:tc>
      </w:tr>
      <w:tr w:rsidR="00543AC4" w:rsidRPr="005144F6" w:rsidTr="000C4ABA">
        <w:trPr>
          <w:trHeight w:val="1200"/>
        </w:trPr>
        <w:tc>
          <w:tcPr>
            <w:tcW w:w="804" w:type="dxa"/>
            <w:vMerge/>
            <w:noWrap/>
          </w:tcPr>
          <w:p w:rsidR="00543AC4" w:rsidRPr="00BD26C5" w:rsidRDefault="00543AC4" w:rsidP="002F561D">
            <w:pPr>
              <w:rPr>
                <w:lang w:val="es-AR"/>
              </w:rPr>
            </w:pPr>
          </w:p>
        </w:tc>
        <w:tc>
          <w:tcPr>
            <w:tcW w:w="840" w:type="dxa"/>
            <w:vMerge w:val="restart"/>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1:</w:t>
            </w:r>
            <w:r>
              <w:rPr>
                <w:lang w:val="es-ES" w:eastAsia="es-ES"/>
              </w:rPr>
              <w:t xml:space="preserve"> Mayor capacidad nacional para prestar servicios de salud sexual y reproductiva integrados</w:t>
            </w:r>
          </w:p>
        </w:tc>
        <w:tc>
          <w:tcPr>
            <w:tcW w:w="3434" w:type="dxa"/>
            <w:gridSpan w:val="3"/>
          </w:tcPr>
          <w:p w:rsidR="00543AC4" w:rsidRPr="00BD26C5" w:rsidRDefault="00543AC4" w:rsidP="002F561D">
            <w:pPr>
              <w:rPr>
                <w:lang w:val="es-AR"/>
              </w:rPr>
            </w:pPr>
            <w:r>
              <w:rPr>
                <w:lang w:val="es-ES" w:eastAsia="es-ES"/>
              </w:rPr>
              <w:t xml:space="preserve">1.1: Número de países que tienen directrices, protocolos y normas para los profesionales del cuidado de la salud para la prestación de servicios de salud sexual y reproductiva de calidad para adolescentes y jóvenes </w:t>
            </w:r>
          </w:p>
        </w:tc>
        <w:tc>
          <w:tcPr>
            <w:tcW w:w="930" w:type="dxa"/>
            <w:gridSpan w:val="2"/>
          </w:tcPr>
          <w:p w:rsidR="00543AC4" w:rsidRPr="001A26EA" w:rsidRDefault="00543AC4" w:rsidP="002F561D">
            <w:r w:rsidRPr="001A26EA">
              <w:t>73</w:t>
            </w:r>
          </w:p>
        </w:tc>
        <w:tc>
          <w:tcPr>
            <w:tcW w:w="841" w:type="dxa"/>
          </w:tcPr>
          <w:p w:rsidR="00543AC4" w:rsidRPr="001A26EA" w:rsidRDefault="00543AC4" w:rsidP="002F561D">
            <w:r w:rsidRPr="001A26EA">
              <w:t>89</w:t>
            </w:r>
          </w:p>
        </w:tc>
        <w:tc>
          <w:tcPr>
            <w:tcW w:w="886" w:type="dxa"/>
          </w:tcPr>
          <w:p w:rsidR="00543AC4" w:rsidRPr="001A26EA" w:rsidRDefault="00543AC4" w:rsidP="002F561D">
            <w:r w:rsidRPr="001A26EA">
              <w:t>105</w:t>
            </w:r>
          </w:p>
        </w:tc>
        <w:tc>
          <w:tcPr>
            <w:tcW w:w="886" w:type="dxa"/>
          </w:tcPr>
          <w:p w:rsidR="00543AC4" w:rsidRPr="001A26EA" w:rsidRDefault="00543AC4" w:rsidP="002F561D">
            <w:r w:rsidRPr="001A26EA">
              <w:t>118</w:t>
            </w:r>
          </w:p>
        </w:tc>
        <w:tc>
          <w:tcPr>
            <w:tcW w:w="886" w:type="dxa"/>
          </w:tcPr>
          <w:p w:rsidR="00543AC4" w:rsidRPr="001A26EA" w:rsidRDefault="00543AC4" w:rsidP="002F561D">
            <w:r w:rsidRPr="001A26EA">
              <w:t>123</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5144F6" w:rsidTr="000C4ABA">
        <w:trPr>
          <w:trHeight w:val="615"/>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1.2: Número de países que tienen un plan nacional integrado de acción de la salud sexual y reproductiva costeado</w:t>
            </w:r>
          </w:p>
        </w:tc>
        <w:tc>
          <w:tcPr>
            <w:tcW w:w="930" w:type="dxa"/>
            <w:gridSpan w:val="2"/>
          </w:tcPr>
          <w:p w:rsidR="00543AC4" w:rsidRPr="001A26EA" w:rsidRDefault="00543AC4" w:rsidP="002F561D">
            <w:r w:rsidRPr="001A26EA">
              <w:t>59</w:t>
            </w:r>
          </w:p>
        </w:tc>
        <w:tc>
          <w:tcPr>
            <w:tcW w:w="841" w:type="dxa"/>
          </w:tcPr>
          <w:p w:rsidR="00543AC4" w:rsidRPr="001A26EA" w:rsidRDefault="00543AC4" w:rsidP="002F561D">
            <w:r w:rsidRPr="001A26EA">
              <w:t>80</w:t>
            </w:r>
          </w:p>
        </w:tc>
        <w:tc>
          <w:tcPr>
            <w:tcW w:w="886" w:type="dxa"/>
          </w:tcPr>
          <w:p w:rsidR="00543AC4" w:rsidRPr="001A26EA" w:rsidRDefault="00543AC4" w:rsidP="002F561D">
            <w:r w:rsidRPr="001A26EA">
              <w:t>95</w:t>
            </w:r>
          </w:p>
        </w:tc>
        <w:tc>
          <w:tcPr>
            <w:tcW w:w="886" w:type="dxa"/>
          </w:tcPr>
          <w:p w:rsidR="00543AC4" w:rsidRPr="001A26EA" w:rsidRDefault="00543AC4" w:rsidP="002F561D">
            <w:r w:rsidRPr="001A26EA">
              <w:t>101</w:t>
            </w:r>
          </w:p>
        </w:tc>
        <w:tc>
          <w:tcPr>
            <w:tcW w:w="886" w:type="dxa"/>
          </w:tcPr>
          <w:p w:rsidR="00543AC4" w:rsidRPr="001A26EA" w:rsidRDefault="00543AC4" w:rsidP="002F561D">
            <w:r w:rsidRPr="001A26EA">
              <w:t>110</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5144F6" w:rsidTr="000C4ABA">
        <w:trPr>
          <w:trHeight w:val="900"/>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2:</w:t>
            </w:r>
            <w:r>
              <w:rPr>
                <w:lang w:val="es-ES" w:eastAsia="es-ES"/>
              </w:rPr>
              <w:t xml:space="preserve"> Mayor capacidad nacional para fortalecer los entornos favorables, aumentar la demanda y el abastimiento de anticonceptivos modernos y mejorar los servicios de planificación de la familia de calidad que están libres de coerción, discriminación y violencia</w:t>
            </w:r>
          </w:p>
        </w:tc>
        <w:tc>
          <w:tcPr>
            <w:tcW w:w="3434" w:type="dxa"/>
            <w:gridSpan w:val="3"/>
          </w:tcPr>
          <w:p w:rsidR="00543AC4" w:rsidRPr="00BD26C5" w:rsidRDefault="00543AC4" w:rsidP="002F561D">
            <w:pPr>
              <w:rPr>
                <w:lang w:val="es-AR"/>
              </w:rPr>
            </w:pPr>
            <w:r>
              <w:rPr>
                <w:lang w:val="es-ES" w:eastAsia="es-ES"/>
              </w:rPr>
              <w:t>2.1: Número de países que utilizan sistemas de información de gestión de logística para prever y supervisar los suministros de salud reproductiva</w:t>
            </w:r>
          </w:p>
        </w:tc>
        <w:tc>
          <w:tcPr>
            <w:tcW w:w="930" w:type="dxa"/>
            <w:gridSpan w:val="2"/>
          </w:tcPr>
          <w:p w:rsidR="00543AC4" w:rsidRPr="001A26EA" w:rsidRDefault="00543AC4" w:rsidP="002F561D">
            <w:r w:rsidRPr="001A26EA">
              <w:t>75</w:t>
            </w:r>
          </w:p>
        </w:tc>
        <w:tc>
          <w:tcPr>
            <w:tcW w:w="841" w:type="dxa"/>
          </w:tcPr>
          <w:p w:rsidR="00543AC4" w:rsidRPr="001A26EA" w:rsidRDefault="00543AC4" w:rsidP="002F561D">
            <w:r w:rsidRPr="001A26EA">
              <w:t>90</w:t>
            </w:r>
          </w:p>
        </w:tc>
        <w:tc>
          <w:tcPr>
            <w:tcW w:w="886" w:type="dxa"/>
          </w:tcPr>
          <w:p w:rsidR="00543AC4" w:rsidRPr="001A26EA" w:rsidRDefault="00543AC4" w:rsidP="002F561D">
            <w:r w:rsidRPr="001A26EA">
              <w:t>98</w:t>
            </w:r>
          </w:p>
        </w:tc>
        <w:tc>
          <w:tcPr>
            <w:tcW w:w="886" w:type="dxa"/>
          </w:tcPr>
          <w:p w:rsidR="00543AC4" w:rsidRPr="001A26EA" w:rsidRDefault="00543AC4" w:rsidP="002F561D">
            <w:r w:rsidRPr="001A26EA">
              <w:t>105</w:t>
            </w:r>
          </w:p>
        </w:tc>
        <w:tc>
          <w:tcPr>
            <w:tcW w:w="886" w:type="dxa"/>
          </w:tcPr>
          <w:p w:rsidR="00543AC4" w:rsidRPr="001A26EA" w:rsidRDefault="00543AC4" w:rsidP="002F561D">
            <w:r w:rsidRPr="001A26EA">
              <w:t>111</w:t>
            </w:r>
          </w:p>
        </w:tc>
        <w:tc>
          <w:tcPr>
            <w:tcW w:w="1710" w:type="dxa"/>
          </w:tcPr>
          <w:p w:rsidR="00543AC4" w:rsidRDefault="00543AC4" w:rsidP="00BD3420">
            <w:pPr>
              <w:rPr>
                <w:lang w:val="es-ES" w:eastAsia="es-ES"/>
              </w:rPr>
            </w:pPr>
            <w:r>
              <w:rPr>
                <w:lang w:val="es-ES" w:eastAsia="es-ES"/>
              </w:rPr>
              <w:t xml:space="preserve">Informes anuales de las oficinas de país </w:t>
            </w:r>
          </w:p>
          <w:p w:rsidR="00543AC4" w:rsidRPr="00BD26C5" w:rsidRDefault="00543AC4" w:rsidP="00BD3420">
            <w:pPr>
              <w:rPr>
                <w:lang w:val="es-AR"/>
              </w:rPr>
            </w:pPr>
          </w:p>
        </w:tc>
      </w:tr>
      <w:tr w:rsidR="00543AC4" w:rsidRPr="005144F6" w:rsidTr="000C4ABA">
        <w:trPr>
          <w:trHeight w:val="900"/>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 xml:space="preserve">2.2: Número de países que han capacitado a todos los niveles del personal para aplicar el nuevo protocolo de derechos humanos sobre la planificación de la familia </w:t>
            </w:r>
          </w:p>
        </w:tc>
        <w:tc>
          <w:tcPr>
            <w:tcW w:w="930" w:type="dxa"/>
            <w:gridSpan w:val="2"/>
          </w:tcPr>
          <w:p w:rsidR="00543AC4" w:rsidRPr="001A26EA" w:rsidRDefault="00543AC4" w:rsidP="002F561D">
            <w:r w:rsidRPr="001A26EA">
              <w:t>0</w:t>
            </w:r>
          </w:p>
        </w:tc>
        <w:tc>
          <w:tcPr>
            <w:tcW w:w="841" w:type="dxa"/>
          </w:tcPr>
          <w:p w:rsidR="00543AC4" w:rsidRPr="001A26EA" w:rsidRDefault="00543AC4" w:rsidP="002F561D">
            <w:r w:rsidRPr="001A26EA">
              <w:t>0</w:t>
            </w:r>
          </w:p>
        </w:tc>
        <w:tc>
          <w:tcPr>
            <w:tcW w:w="886" w:type="dxa"/>
          </w:tcPr>
          <w:p w:rsidR="00543AC4" w:rsidRPr="001A26EA" w:rsidRDefault="00543AC4" w:rsidP="002F561D">
            <w:r w:rsidRPr="001A26EA">
              <w:t>0</w:t>
            </w:r>
          </w:p>
        </w:tc>
        <w:tc>
          <w:tcPr>
            <w:tcW w:w="886" w:type="dxa"/>
          </w:tcPr>
          <w:p w:rsidR="00543AC4" w:rsidRPr="001A26EA" w:rsidRDefault="00543AC4" w:rsidP="002F561D">
            <w:r w:rsidRPr="001A26EA">
              <w:t>6</w:t>
            </w:r>
          </w:p>
        </w:tc>
        <w:tc>
          <w:tcPr>
            <w:tcW w:w="886" w:type="dxa"/>
          </w:tcPr>
          <w:p w:rsidR="00543AC4" w:rsidRPr="001A26EA" w:rsidRDefault="00543AC4" w:rsidP="002F561D">
            <w:r w:rsidRPr="001A26EA">
              <w:t>13</w:t>
            </w:r>
          </w:p>
        </w:tc>
        <w:tc>
          <w:tcPr>
            <w:tcW w:w="1710" w:type="dxa"/>
          </w:tcPr>
          <w:p w:rsidR="00543AC4" w:rsidRDefault="00543AC4" w:rsidP="00BD3420">
            <w:pPr>
              <w:rPr>
                <w:lang w:val="es-ES" w:eastAsia="es-ES"/>
              </w:rPr>
            </w:pPr>
            <w:r>
              <w:rPr>
                <w:lang w:val="es-ES" w:eastAsia="es-ES"/>
              </w:rPr>
              <w:t xml:space="preserve">Informes anuales de las oficinas de país </w:t>
            </w:r>
          </w:p>
          <w:p w:rsidR="00543AC4" w:rsidRPr="00BD26C5" w:rsidRDefault="00543AC4" w:rsidP="00BD3420">
            <w:pPr>
              <w:rPr>
                <w:lang w:val="es-AR"/>
              </w:rPr>
            </w:pPr>
          </w:p>
        </w:tc>
      </w:tr>
      <w:tr w:rsidR="00543AC4" w:rsidRPr="005144F6" w:rsidTr="000C4ABA">
        <w:trPr>
          <w:trHeight w:val="915"/>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861394">
            <w:pPr>
              <w:rPr>
                <w:lang w:val="es-AR"/>
              </w:rPr>
            </w:pPr>
            <w:r>
              <w:rPr>
                <w:lang w:val="es-ES" w:eastAsia="es-ES"/>
              </w:rPr>
              <w:t>2.3: Número de países en los que el UNFPA apoya al menos a cuatro elementos que generan demanda de planificación de la familia</w:t>
            </w:r>
          </w:p>
        </w:tc>
        <w:tc>
          <w:tcPr>
            <w:tcW w:w="930" w:type="dxa"/>
            <w:gridSpan w:val="2"/>
          </w:tcPr>
          <w:p w:rsidR="00543AC4" w:rsidRPr="001A26EA" w:rsidRDefault="00543AC4" w:rsidP="002F561D">
            <w:r w:rsidRPr="001A26EA">
              <w:t>18</w:t>
            </w:r>
          </w:p>
        </w:tc>
        <w:tc>
          <w:tcPr>
            <w:tcW w:w="841" w:type="dxa"/>
          </w:tcPr>
          <w:p w:rsidR="00543AC4" w:rsidRPr="001A26EA" w:rsidRDefault="00543AC4" w:rsidP="002F561D">
            <w:r w:rsidRPr="001A26EA">
              <w:t>25</w:t>
            </w:r>
          </w:p>
        </w:tc>
        <w:tc>
          <w:tcPr>
            <w:tcW w:w="886" w:type="dxa"/>
          </w:tcPr>
          <w:p w:rsidR="00543AC4" w:rsidRPr="001A26EA" w:rsidRDefault="00543AC4" w:rsidP="002F561D">
            <w:r w:rsidRPr="001A26EA">
              <w:t>32</w:t>
            </w:r>
          </w:p>
        </w:tc>
        <w:tc>
          <w:tcPr>
            <w:tcW w:w="886" w:type="dxa"/>
          </w:tcPr>
          <w:p w:rsidR="00543AC4" w:rsidRPr="001A26EA" w:rsidRDefault="00543AC4" w:rsidP="002F561D">
            <w:r w:rsidRPr="001A26EA">
              <w:t>36</w:t>
            </w:r>
          </w:p>
        </w:tc>
        <w:tc>
          <w:tcPr>
            <w:tcW w:w="886" w:type="dxa"/>
          </w:tcPr>
          <w:p w:rsidR="00543AC4" w:rsidRPr="001A26EA" w:rsidRDefault="00543AC4" w:rsidP="002F561D">
            <w:r w:rsidRPr="001A26EA">
              <w:t>41</w:t>
            </w:r>
          </w:p>
        </w:tc>
        <w:tc>
          <w:tcPr>
            <w:tcW w:w="1710" w:type="dxa"/>
          </w:tcPr>
          <w:p w:rsidR="00543AC4" w:rsidRDefault="00543AC4" w:rsidP="00BD3420">
            <w:pPr>
              <w:rPr>
                <w:lang w:val="es-ES" w:eastAsia="es-ES"/>
              </w:rPr>
            </w:pPr>
            <w:r>
              <w:rPr>
                <w:lang w:val="es-ES" w:eastAsia="es-ES"/>
              </w:rPr>
              <w:t xml:space="preserve">Informes anuales de las oficinas de país </w:t>
            </w:r>
          </w:p>
          <w:p w:rsidR="00543AC4" w:rsidRPr="00BD26C5" w:rsidRDefault="00543AC4" w:rsidP="00BD3420">
            <w:pPr>
              <w:rPr>
                <w:lang w:val="es-AR"/>
              </w:rPr>
            </w:pPr>
          </w:p>
        </w:tc>
      </w:tr>
      <w:tr w:rsidR="00543AC4" w:rsidRPr="005144F6" w:rsidTr="000C4ABA">
        <w:trPr>
          <w:trHeight w:val="881"/>
        </w:trPr>
        <w:tc>
          <w:tcPr>
            <w:tcW w:w="804" w:type="dxa"/>
            <w:vMerge/>
            <w:tcBorders>
              <w:bottom w:val="nil"/>
            </w:tcBorders>
            <w:noWrap/>
          </w:tcPr>
          <w:p w:rsidR="00543AC4" w:rsidRPr="00BD26C5" w:rsidRDefault="00543AC4" w:rsidP="00BD3420">
            <w:pPr>
              <w:rPr>
                <w:lang w:val="es-AR"/>
              </w:rPr>
            </w:pPr>
          </w:p>
        </w:tc>
        <w:tc>
          <w:tcPr>
            <w:tcW w:w="840" w:type="dxa"/>
            <w:vMerge/>
          </w:tcPr>
          <w:p w:rsidR="00543AC4" w:rsidRPr="00BD26C5" w:rsidRDefault="00543AC4" w:rsidP="00BD3420">
            <w:pPr>
              <w:rPr>
                <w:lang w:val="es-AR"/>
              </w:rPr>
            </w:pPr>
          </w:p>
        </w:tc>
        <w:tc>
          <w:tcPr>
            <w:tcW w:w="2463" w:type="dxa"/>
            <w:gridSpan w:val="2"/>
            <w:vMerge w:val="restart"/>
            <w:shd w:val="clear" w:color="auto" w:fill="F2F2F2"/>
          </w:tcPr>
          <w:p w:rsidR="00543AC4" w:rsidRPr="00BD26C5" w:rsidRDefault="00543AC4" w:rsidP="00BD3420">
            <w:pPr>
              <w:rPr>
                <w:lang w:val="es-AR"/>
              </w:rPr>
            </w:pPr>
            <w:r>
              <w:rPr>
                <w:b/>
                <w:bCs/>
                <w:lang w:val="es-ES" w:eastAsia="es-ES"/>
              </w:rPr>
              <w:t>Producto 3:</w:t>
            </w:r>
            <w:r>
              <w:rPr>
                <w:lang w:val="es-ES" w:eastAsia="es-ES"/>
              </w:rPr>
              <w:t xml:space="preserve"> Mayor capacidad nacional para prestar servicios integrales de salud materna</w:t>
            </w:r>
          </w:p>
        </w:tc>
        <w:tc>
          <w:tcPr>
            <w:tcW w:w="3434" w:type="dxa"/>
            <w:gridSpan w:val="3"/>
          </w:tcPr>
          <w:p w:rsidR="00543AC4" w:rsidRPr="00BD26C5" w:rsidRDefault="00543AC4" w:rsidP="00BD3420">
            <w:pPr>
              <w:rPr>
                <w:lang w:val="es-AR"/>
              </w:rPr>
            </w:pPr>
            <w:r>
              <w:rPr>
                <w:lang w:val="es-ES" w:eastAsia="es-ES"/>
              </w:rPr>
              <w:t>3.1: Número de países en los que el desarrollo de las políticas del personal obstétrico se basó en las normas de la</w:t>
            </w:r>
            <w:r w:rsidRPr="005144F6">
              <w:rPr>
                <w:lang w:val="es-CO"/>
              </w:rPr>
              <w:t xml:space="preserve"> Confederación Internacional de </w:t>
            </w:r>
            <w:r w:rsidRPr="005144F6">
              <w:rPr>
                <w:lang w:val="es-CO"/>
              </w:rPr>
              <w:lastRenderedPageBreak/>
              <w:t>Matronas</w:t>
            </w:r>
            <w:r>
              <w:rPr>
                <w:lang w:val="es-ES" w:eastAsia="es-ES"/>
              </w:rPr>
              <w:t xml:space="preserve">(ICM, por sus siglas en inglés) de la OMS </w:t>
            </w:r>
          </w:p>
        </w:tc>
        <w:tc>
          <w:tcPr>
            <w:tcW w:w="930" w:type="dxa"/>
            <w:gridSpan w:val="2"/>
          </w:tcPr>
          <w:p w:rsidR="00543AC4" w:rsidRPr="001A26EA" w:rsidRDefault="00543AC4" w:rsidP="00BD3420">
            <w:r w:rsidRPr="001A26EA">
              <w:lastRenderedPageBreak/>
              <w:t>52</w:t>
            </w:r>
          </w:p>
        </w:tc>
        <w:tc>
          <w:tcPr>
            <w:tcW w:w="841" w:type="dxa"/>
          </w:tcPr>
          <w:p w:rsidR="00543AC4" w:rsidRPr="001A26EA" w:rsidRDefault="00543AC4" w:rsidP="00BD3420">
            <w:r w:rsidRPr="001A26EA">
              <w:t>63</w:t>
            </w:r>
          </w:p>
        </w:tc>
        <w:tc>
          <w:tcPr>
            <w:tcW w:w="886" w:type="dxa"/>
          </w:tcPr>
          <w:p w:rsidR="00543AC4" w:rsidRPr="001A26EA" w:rsidRDefault="00543AC4" w:rsidP="00BD3420">
            <w:r w:rsidRPr="001A26EA">
              <w:t>70</w:t>
            </w:r>
          </w:p>
        </w:tc>
        <w:tc>
          <w:tcPr>
            <w:tcW w:w="886" w:type="dxa"/>
          </w:tcPr>
          <w:p w:rsidR="00543AC4" w:rsidRPr="001A26EA" w:rsidRDefault="00543AC4" w:rsidP="00BD3420">
            <w:r w:rsidRPr="001A26EA">
              <w:t>77</w:t>
            </w:r>
          </w:p>
        </w:tc>
        <w:tc>
          <w:tcPr>
            <w:tcW w:w="886" w:type="dxa"/>
          </w:tcPr>
          <w:p w:rsidR="00543AC4" w:rsidRPr="001A26EA" w:rsidRDefault="00543AC4" w:rsidP="00BD3420">
            <w:r w:rsidRPr="001A26EA">
              <w:t>84</w:t>
            </w:r>
          </w:p>
        </w:tc>
        <w:tc>
          <w:tcPr>
            <w:tcW w:w="1710" w:type="dxa"/>
          </w:tcPr>
          <w:p w:rsidR="00543AC4" w:rsidRDefault="00543AC4" w:rsidP="00BD3420">
            <w:pPr>
              <w:rPr>
                <w:lang w:val="es-ES" w:eastAsia="es-ES"/>
              </w:rPr>
            </w:pPr>
            <w:r>
              <w:rPr>
                <w:lang w:val="es-ES" w:eastAsia="es-ES"/>
              </w:rPr>
              <w:t xml:space="preserve">Informes anuales de las oficinas de país </w:t>
            </w:r>
          </w:p>
          <w:p w:rsidR="00543AC4" w:rsidRPr="00BD26C5" w:rsidRDefault="00543AC4" w:rsidP="00BD3420">
            <w:pPr>
              <w:rPr>
                <w:lang w:val="es-AR"/>
              </w:rPr>
            </w:pPr>
          </w:p>
        </w:tc>
      </w:tr>
      <w:tr w:rsidR="00543AC4" w:rsidRPr="005144F6" w:rsidTr="000C4ABA">
        <w:trPr>
          <w:trHeight w:val="1367"/>
        </w:trPr>
        <w:tc>
          <w:tcPr>
            <w:tcW w:w="804" w:type="dxa"/>
            <w:vMerge w:val="restart"/>
            <w:tcBorders>
              <w:top w:val="nil"/>
            </w:tcBorders>
            <w:noWrap/>
          </w:tcPr>
          <w:p w:rsidR="00543AC4" w:rsidRPr="00BD26C5" w:rsidRDefault="00543AC4" w:rsidP="00BD3420">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3.2: Número de países que han utilizado los resultados de una evaluación de las necesidades de cuidado obstétrico y neonatal de emergencia (EmONC, por sus siglas en inglés) para desarrollar una plan de acción nacional costeado para ampliar los servicios de salud materna y neonatal</w:t>
            </w:r>
          </w:p>
        </w:tc>
        <w:tc>
          <w:tcPr>
            <w:tcW w:w="930" w:type="dxa"/>
            <w:gridSpan w:val="2"/>
          </w:tcPr>
          <w:p w:rsidR="00543AC4" w:rsidRPr="001A26EA" w:rsidRDefault="00543AC4" w:rsidP="002F561D">
            <w:r w:rsidRPr="001A26EA">
              <w:t>47</w:t>
            </w:r>
          </w:p>
        </w:tc>
        <w:tc>
          <w:tcPr>
            <w:tcW w:w="841" w:type="dxa"/>
          </w:tcPr>
          <w:p w:rsidR="00543AC4" w:rsidRPr="001A26EA" w:rsidRDefault="00543AC4" w:rsidP="002F561D">
            <w:r w:rsidRPr="001A26EA">
              <w:t>77</w:t>
            </w:r>
          </w:p>
        </w:tc>
        <w:tc>
          <w:tcPr>
            <w:tcW w:w="886" w:type="dxa"/>
          </w:tcPr>
          <w:p w:rsidR="00543AC4" w:rsidRPr="001A26EA" w:rsidRDefault="00543AC4" w:rsidP="002F561D">
            <w:r w:rsidRPr="001A26EA">
              <w:t>90</w:t>
            </w:r>
          </w:p>
        </w:tc>
        <w:tc>
          <w:tcPr>
            <w:tcW w:w="886" w:type="dxa"/>
          </w:tcPr>
          <w:p w:rsidR="00543AC4" w:rsidRPr="001A26EA" w:rsidRDefault="00543AC4" w:rsidP="002F561D">
            <w:r w:rsidRPr="001A26EA">
              <w:t>98</w:t>
            </w:r>
          </w:p>
        </w:tc>
        <w:tc>
          <w:tcPr>
            <w:tcW w:w="886" w:type="dxa"/>
          </w:tcPr>
          <w:p w:rsidR="00543AC4" w:rsidRPr="001A26EA" w:rsidRDefault="00543AC4" w:rsidP="002F561D">
            <w:r w:rsidRPr="001A26EA">
              <w:t>105</w:t>
            </w:r>
          </w:p>
        </w:tc>
        <w:tc>
          <w:tcPr>
            <w:tcW w:w="1710" w:type="dxa"/>
          </w:tcPr>
          <w:p w:rsidR="00543AC4" w:rsidRDefault="00543AC4" w:rsidP="00BD3420">
            <w:pPr>
              <w:rPr>
                <w:lang w:val="es-ES" w:eastAsia="es-ES"/>
              </w:rPr>
            </w:pPr>
            <w:r>
              <w:rPr>
                <w:lang w:val="es-ES" w:eastAsia="es-ES"/>
              </w:rPr>
              <w:t xml:space="preserve">Informes anuales de las oficinas de país </w:t>
            </w:r>
          </w:p>
          <w:p w:rsidR="00543AC4" w:rsidRPr="00BD26C5" w:rsidRDefault="00543AC4" w:rsidP="00BD3420">
            <w:pPr>
              <w:rPr>
                <w:lang w:val="es-AR"/>
              </w:rPr>
            </w:pPr>
          </w:p>
        </w:tc>
      </w:tr>
      <w:tr w:rsidR="00543AC4" w:rsidRPr="005144F6" w:rsidTr="000C4ABA">
        <w:trPr>
          <w:trHeight w:val="440"/>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3.3: Número de cirugías de reparación de fístula</w:t>
            </w:r>
          </w:p>
        </w:tc>
        <w:tc>
          <w:tcPr>
            <w:tcW w:w="930" w:type="dxa"/>
            <w:gridSpan w:val="2"/>
          </w:tcPr>
          <w:p w:rsidR="00543AC4" w:rsidRPr="001A26EA" w:rsidRDefault="00543AC4" w:rsidP="002F561D">
            <w:r w:rsidRPr="001A26EA">
              <w:t>8,400</w:t>
            </w:r>
          </w:p>
        </w:tc>
        <w:tc>
          <w:tcPr>
            <w:tcW w:w="841" w:type="dxa"/>
          </w:tcPr>
          <w:p w:rsidR="00543AC4" w:rsidRPr="001A26EA" w:rsidRDefault="00543AC4" w:rsidP="002F561D">
            <w:r w:rsidRPr="001A26EA">
              <w:t>11,200</w:t>
            </w:r>
          </w:p>
        </w:tc>
        <w:tc>
          <w:tcPr>
            <w:tcW w:w="886" w:type="dxa"/>
          </w:tcPr>
          <w:p w:rsidR="00543AC4" w:rsidRPr="001A26EA" w:rsidRDefault="00543AC4" w:rsidP="002F561D">
            <w:r w:rsidRPr="001A26EA">
              <w:t>12,400</w:t>
            </w:r>
          </w:p>
        </w:tc>
        <w:tc>
          <w:tcPr>
            <w:tcW w:w="886" w:type="dxa"/>
          </w:tcPr>
          <w:p w:rsidR="00543AC4" w:rsidRPr="001A26EA" w:rsidRDefault="00543AC4" w:rsidP="002F561D">
            <w:r w:rsidRPr="001A26EA">
              <w:t>13,600</w:t>
            </w:r>
          </w:p>
        </w:tc>
        <w:tc>
          <w:tcPr>
            <w:tcW w:w="886" w:type="dxa"/>
          </w:tcPr>
          <w:p w:rsidR="00543AC4" w:rsidRPr="001A26EA" w:rsidRDefault="00543AC4" w:rsidP="002F561D">
            <w:r w:rsidRPr="001A26EA">
              <w:t>14,800</w:t>
            </w:r>
          </w:p>
        </w:tc>
        <w:tc>
          <w:tcPr>
            <w:tcW w:w="1710" w:type="dxa"/>
          </w:tcPr>
          <w:p w:rsidR="00543AC4" w:rsidRDefault="00543AC4" w:rsidP="00BD3420">
            <w:pPr>
              <w:rPr>
                <w:lang w:val="es-ES" w:eastAsia="es-ES"/>
              </w:rPr>
            </w:pPr>
            <w:r>
              <w:rPr>
                <w:lang w:val="es-ES" w:eastAsia="es-ES"/>
              </w:rPr>
              <w:t xml:space="preserve">Informes anuales de las oficinas de país </w:t>
            </w:r>
          </w:p>
          <w:p w:rsidR="00543AC4" w:rsidRPr="00BD26C5" w:rsidRDefault="00543AC4" w:rsidP="00BD3420">
            <w:pPr>
              <w:rPr>
                <w:lang w:val="es-AR"/>
              </w:rPr>
            </w:pPr>
          </w:p>
        </w:tc>
      </w:tr>
      <w:tr w:rsidR="00543AC4" w:rsidRPr="00600170" w:rsidTr="000C4ABA">
        <w:trPr>
          <w:trHeight w:val="945"/>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AC10D1">
            <w:pPr>
              <w:rPr>
                <w:lang w:val="es-AR"/>
              </w:rPr>
            </w:pPr>
            <w:r>
              <w:rPr>
                <w:lang w:val="es-ES" w:eastAsia="es-ES"/>
              </w:rPr>
              <w:t>3.4: Número de países que han establecido sistemas nacionales para la vigilancia y respuesta a la mortalidad materna</w:t>
            </w:r>
          </w:p>
        </w:tc>
        <w:tc>
          <w:tcPr>
            <w:tcW w:w="930" w:type="dxa"/>
            <w:gridSpan w:val="2"/>
          </w:tcPr>
          <w:p w:rsidR="00543AC4" w:rsidRPr="00387219" w:rsidRDefault="00543AC4" w:rsidP="002F561D">
            <w:pPr>
              <w:rPr>
                <w:iCs/>
              </w:rPr>
            </w:pPr>
            <w:r>
              <w:rPr>
                <w:iCs/>
              </w:rPr>
              <w:t>5</w:t>
            </w:r>
          </w:p>
        </w:tc>
        <w:tc>
          <w:tcPr>
            <w:tcW w:w="841" w:type="dxa"/>
          </w:tcPr>
          <w:p w:rsidR="00543AC4" w:rsidRPr="00387219" w:rsidRDefault="00543AC4" w:rsidP="002F561D">
            <w:pPr>
              <w:rPr>
                <w:iCs/>
              </w:rPr>
            </w:pPr>
            <w:r>
              <w:rPr>
                <w:iCs/>
              </w:rPr>
              <w:t>15</w:t>
            </w:r>
          </w:p>
        </w:tc>
        <w:tc>
          <w:tcPr>
            <w:tcW w:w="886" w:type="dxa"/>
          </w:tcPr>
          <w:p w:rsidR="00543AC4" w:rsidRPr="00387219" w:rsidRDefault="00543AC4" w:rsidP="002F561D">
            <w:pPr>
              <w:rPr>
                <w:iCs/>
              </w:rPr>
            </w:pPr>
            <w:r>
              <w:rPr>
                <w:iCs/>
              </w:rPr>
              <w:t>25</w:t>
            </w:r>
          </w:p>
        </w:tc>
        <w:tc>
          <w:tcPr>
            <w:tcW w:w="886" w:type="dxa"/>
          </w:tcPr>
          <w:p w:rsidR="00543AC4" w:rsidRPr="00387219" w:rsidRDefault="00543AC4" w:rsidP="002F561D">
            <w:pPr>
              <w:rPr>
                <w:iCs/>
              </w:rPr>
            </w:pPr>
            <w:r>
              <w:rPr>
                <w:iCs/>
              </w:rPr>
              <w:t>35</w:t>
            </w:r>
          </w:p>
        </w:tc>
        <w:tc>
          <w:tcPr>
            <w:tcW w:w="886" w:type="dxa"/>
          </w:tcPr>
          <w:p w:rsidR="00543AC4" w:rsidRPr="00387219" w:rsidRDefault="00543AC4" w:rsidP="002F561D">
            <w:pPr>
              <w:rPr>
                <w:iCs/>
              </w:rPr>
            </w:pPr>
            <w:r>
              <w:rPr>
                <w:iCs/>
              </w:rPr>
              <w:t>45</w:t>
            </w:r>
          </w:p>
        </w:tc>
        <w:tc>
          <w:tcPr>
            <w:tcW w:w="1710" w:type="dxa"/>
          </w:tcPr>
          <w:p w:rsidR="00543AC4" w:rsidRPr="00BD26C5" w:rsidRDefault="00543AC4" w:rsidP="002F561D">
            <w:pPr>
              <w:rPr>
                <w:lang w:val="es-AR"/>
              </w:rPr>
            </w:pPr>
            <w:r>
              <w:rPr>
                <w:lang w:val="es-ES" w:eastAsia="es-ES"/>
              </w:rPr>
              <w:t>Base de datos de la Organización Mundial de la Salud</w:t>
            </w:r>
          </w:p>
        </w:tc>
      </w:tr>
      <w:tr w:rsidR="00543AC4" w:rsidRPr="005144F6" w:rsidTr="000C4ABA">
        <w:trPr>
          <w:trHeight w:val="1070"/>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861394">
            <w:pPr>
              <w:rPr>
                <w:lang w:val="es-AR"/>
              </w:rPr>
            </w:pPr>
            <w:r>
              <w:rPr>
                <w:b/>
                <w:bCs/>
                <w:lang w:val="es-ES" w:eastAsia="es-ES"/>
              </w:rPr>
              <w:t>Producto 4:</w:t>
            </w:r>
            <w:r>
              <w:rPr>
                <w:lang w:val="es-ES" w:eastAsia="es-ES"/>
              </w:rPr>
              <w:t xml:space="preserve"> Mayor capacidad nacional para suministrar programas de VIH sin estigmas y sin discriminación, lo que es coherente con los compromisos del</w:t>
            </w:r>
            <w:r w:rsidRPr="005144F6">
              <w:rPr>
                <w:lang w:val="es-CO"/>
              </w:rPr>
              <w:t xml:space="preserve">Marco Unificado de Presupuesto, Resultados y Rendición de Cuentas </w:t>
            </w:r>
            <w:r>
              <w:rPr>
                <w:lang w:val="es-ES" w:eastAsia="es-ES"/>
              </w:rPr>
              <w:t>(UBRAF, por sus siglas en inglés)  del</w:t>
            </w:r>
            <w:r w:rsidR="00A22828">
              <w:rPr>
                <w:lang w:val="es-ES" w:eastAsia="es-ES"/>
              </w:rPr>
              <w:t xml:space="preserve"> </w:t>
            </w:r>
            <w:r>
              <w:rPr>
                <w:lang w:val="es-ES" w:eastAsia="es-ES"/>
              </w:rPr>
              <w:t xml:space="preserve">ONUSIDA </w:t>
            </w:r>
          </w:p>
        </w:tc>
        <w:tc>
          <w:tcPr>
            <w:tcW w:w="3434" w:type="dxa"/>
            <w:gridSpan w:val="3"/>
          </w:tcPr>
          <w:p w:rsidR="00543AC4" w:rsidRPr="00BD26C5" w:rsidRDefault="00543AC4" w:rsidP="004935AC">
            <w:pPr>
              <w:rPr>
                <w:lang w:val="es-AR"/>
              </w:rPr>
            </w:pPr>
            <w:r>
              <w:rPr>
                <w:lang w:val="es-ES" w:eastAsia="es-ES"/>
              </w:rPr>
              <w:t>4.1: Número de países que tienen estrategias de comunicación de cambios del comportamiento social (SBCC, por sus siglas en inglés) para jóvenes y adolescentes, incluidos aquellos de poblaciones clave</w:t>
            </w:r>
          </w:p>
        </w:tc>
        <w:tc>
          <w:tcPr>
            <w:tcW w:w="930" w:type="dxa"/>
            <w:gridSpan w:val="2"/>
          </w:tcPr>
          <w:p w:rsidR="00543AC4" w:rsidRPr="001A26EA" w:rsidRDefault="00543AC4" w:rsidP="002F561D">
            <w:r w:rsidRPr="001A26EA">
              <w:t>59</w:t>
            </w:r>
          </w:p>
        </w:tc>
        <w:tc>
          <w:tcPr>
            <w:tcW w:w="841" w:type="dxa"/>
          </w:tcPr>
          <w:p w:rsidR="00543AC4" w:rsidRPr="001A26EA" w:rsidRDefault="00543AC4" w:rsidP="002F561D">
            <w:r w:rsidRPr="001A26EA">
              <w:t>81</w:t>
            </w:r>
          </w:p>
        </w:tc>
        <w:tc>
          <w:tcPr>
            <w:tcW w:w="886" w:type="dxa"/>
          </w:tcPr>
          <w:p w:rsidR="00543AC4" w:rsidRPr="001A26EA" w:rsidRDefault="00543AC4" w:rsidP="002F561D">
            <w:r w:rsidRPr="001A26EA">
              <w:t>92</w:t>
            </w:r>
          </w:p>
        </w:tc>
        <w:tc>
          <w:tcPr>
            <w:tcW w:w="886" w:type="dxa"/>
          </w:tcPr>
          <w:p w:rsidR="00543AC4" w:rsidRPr="001A26EA" w:rsidRDefault="00543AC4" w:rsidP="002F561D">
            <w:r w:rsidRPr="001A26EA">
              <w:t>103</w:t>
            </w:r>
          </w:p>
        </w:tc>
        <w:tc>
          <w:tcPr>
            <w:tcW w:w="886" w:type="dxa"/>
          </w:tcPr>
          <w:p w:rsidR="00543AC4" w:rsidRPr="001A26EA" w:rsidRDefault="00543AC4" w:rsidP="002F561D">
            <w:r w:rsidRPr="001A26EA">
              <w:t>113</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5144F6" w:rsidTr="000C4ABA">
        <w:trPr>
          <w:trHeight w:val="863"/>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4.2: Número de países que han llegado a la etapa de aplicación del enfoque estratégico de 10 pasos del UNFPA hacia la programación integral relativa a los preservativos</w:t>
            </w:r>
          </w:p>
        </w:tc>
        <w:tc>
          <w:tcPr>
            <w:tcW w:w="930" w:type="dxa"/>
            <w:gridSpan w:val="2"/>
          </w:tcPr>
          <w:p w:rsidR="00543AC4" w:rsidRPr="001A26EA" w:rsidRDefault="00543AC4" w:rsidP="002F561D">
            <w:r w:rsidRPr="001A26EA">
              <w:t>31</w:t>
            </w:r>
          </w:p>
        </w:tc>
        <w:tc>
          <w:tcPr>
            <w:tcW w:w="841" w:type="dxa"/>
          </w:tcPr>
          <w:p w:rsidR="00543AC4" w:rsidRPr="001A26EA" w:rsidRDefault="00543AC4" w:rsidP="002F561D">
            <w:r w:rsidRPr="001A26EA">
              <w:t>55</w:t>
            </w:r>
          </w:p>
        </w:tc>
        <w:tc>
          <w:tcPr>
            <w:tcW w:w="886" w:type="dxa"/>
          </w:tcPr>
          <w:p w:rsidR="00543AC4" w:rsidRPr="001A26EA" w:rsidRDefault="00543AC4" w:rsidP="002F561D">
            <w:r w:rsidRPr="001A26EA">
              <w:t>69</w:t>
            </w:r>
          </w:p>
        </w:tc>
        <w:tc>
          <w:tcPr>
            <w:tcW w:w="886" w:type="dxa"/>
          </w:tcPr>
          <w:p w:rsidR="00543AC4" w:rsidRPr="001A26EA" w:rsidRDefault="00543AC4" w:rsidP="002F561D">
            <w:r w:rsidRPr="001A26EA">
              <w:t>86</w:t>
            </w:r>
          </w:p>
        </w:tc>
        <w:tc>
          <w:tcPr>
            <w:tcW w:w="886" w:type="dxa"/>
          </w:tcPr>
          <w:p w:rsidR="00543AC4" w:rsidRPr="001A26EA" w:rsidRDefault="00543AC4" w:rsidP="002F561D">
            <w:r w:rsidRPr="001A26EA">
              <w:t>93</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5144F6" w:rsidTr="000C4ABA">
        <w:trPr>
          <w:trHeight w:val="1520"/>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861394">
            <w:pPr>
              <w:rPr>
                <w:lang w:val="es-AR"/>
              </w:rPr>
            </w:pPr>
            <w:r>
              <w:rPr>
                <w:lang w:val="es-ES" w:eastAsia="es-ES"/>
              </w:rPr>
              <w:t xml:space="preserve">4.3: Número de países que tienen al menos una organización liderada por el trabajador sexual basada en la comunidad que se encuentra comprometida(o) con el diseño, la aplicación y la supervisión de programas que aborden las necesidades relacionadas con el VIH y la salud </w:t>
            </w:r>
            <w:r>
              <w:rPr>
                <w:lang w:val="es-ES" w:eastAsia="es-ES"/>
              </w:rPr>
              <w:lastRenderedPageBreak/>
              <w:t>sexual y reproductiva del trabajador sexual</w:t>
            </w:r>
          </w:p>
        </w:tc>
        <w:tc>
          <w:tcPr>
            <w:tcW w:w="930" w:type="dxa"/>
            <w:gridSpan w:val="2"/>
          </w:tcPr>
          <w:p w:rsidR="00543AC4" w:rsidRPr="001A26EA" w:rsidRDefault="00543AC4" w:rsidP="002F561D">
            <w:r>
              <w:lastRenderedPageBreak/>
              <w:t>32</w:t>
            </w:r>
          </w:p>
        </w:tc>
        <w:tc>
          <w:tcPr>
            <w:tcW w:w="841" w:type="dxa"/>
          </w:tcPr>
          <w:p w:rsidR="00543AC4" w:rsidRPr="001A26EA" w:rsidRDefault="00543AC4" w:rsidP="002F561D">
            <w:r>
              <w:t>37</w:t>
            </w:r>
          </w:p>
        </w:tc>
        <w:tc>
          <w:tcPr>
            <w:tcW w:w="886" w:type="dxa"/>
          </w:tcPr>
          <w:p w:rsidR="00543AC4" w:rsidRPr="001A26EA" w:rsidRDefault="00543AC4" w:rsidP="002F561D">
            <w:r>
              <w:t>44</w:t>
            </w:r>
          </w:p>
        </w:tc>
        <w:tc>
          <w:tcPr>
            <w:tcW w:w="886" w:type="dxa"/>
          </w:tcPr>
          <w:p w:rsidR="00543AC4" w:rsidRPr="001A26EA" w:rsidRDefault="00543AC4" w:rsidP="002F561D">
            <w:r>
              <w:t>51</w:t>
            </w:r>
          </w:p>
        </w:tc>
        <w:tc>
          <w:tcPr>
            <w:tcW w:w="886" w:type="dxa"/>
          </w:tcPr>
          <w:p w:rsidR="00543AC4" w:rsidRPr="001A26EA" w:rsidRDefault="00543AC4" w:rsidP="002F561D">
            <w:r>
              <w:t>56</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5144F6" w:rsidTr="000C4ABA">
        <w:trPr>
          <w:trHeight w:val="629"/>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5:</w:t>
            </w:r>
            <w:r>
              <w:rPr>
                <w:lang w:val="es-ES" w:eastAsia="es-ES"/>
              </w:rPr>
              <w:t xml:space="preserve"> Mayor capacidad nacional para brindar servicios de salud sexual y reproductiva en entornos humanitarios</w:t>
            </w:r>
          </w:p>
        </w:tc>
        <w:tc>
          <w:tcPr>
            <w:tcW w:w="3434" w:type="dxa"/>
            <w:gridSpan w:val="3"/>
          </w:tcPr>
          <w:p w:rsidR="00543AC4" w:rsidRPr="00BD26C5" w:rsidRDefault="00543AC4" w:rsidP="002F561D">
            <w:pPr>
              <w:rPr>
                <w:lang w:val="es-AR"/>
              </w:rPr>
            </w:pPr>
            <w:r>
              <w:rPr>
                <w:lang w:val="es-ES" w:eastAsia="es-ES"/>
              </w:rPr>
              <w:t xml:space="preserve">5.1: Número de países que tienen la capacidad para aplicar el </w:t>
            </w:r>
            <w:r w:rsidRPr="005144F6">
              <w:rPr>
                <w:lang w:val="es-CO"/>
              </w:rPr>
              <w:t>Paquete Inicial Mínimo de Servicios de la Salud Reproductiva en Situaciones de Emergencia (</w:t>
            </w:r>
            <w:r>
              <w:rPr>
                <w:lang w:val="es-ES" w:eastAsia="es-ES"/>
              </w:rPr>
              <w:t>MISP, por sus siglas en inglés) al comienzo de una crisis</w:t>
            </w:r>
          </w:p>
        </w:tc>
        <w:tc>
          <w:tcPr>
            <w:tcW w:w="930" w:type="dxa"/>
            <w:gridSpan w:val="2"/>
            <w:noWrap/>
          </w:tcPr>
          <w:p w:rsidR="00543AC4" w:rsidRPr="001A26EA" w:rsidRDefault="00543AC4" w:rsidP="002F561D">
            <w:r w:rsidRPr="001A26EA">
              <w:t>30</w:t>
            </w:r>
          </w:p>
        </w:tc>
        <w:tc>
          <w:tcPr>
            <w:tcW w:w="841" w:type="dxa"/>
            <w:noWrap/>
          </w:tcPr>
          <w:p w:rsidR="00543AC4" w:rsidRPr="001A26EA" w:rsidRDefault="00543AC4" w:rsidP="002F561D">
            <w:r w:rsidRPr="001A26EA">
              <w:t>34</w:t>
            </w:r>
          </w:p>
        </w:tc>
        <w:tc>
          <w:tcPr>
            <w:tcW w:w="886" w:type="dxa"/>
            <w:noWrap/>
          </w:tcPr>
          <w:p w:rsidR="00543AC4" w:rsidRPr="001A26EA" w:rsidRDefault="00543AC4" w:rsidP="002F561D">
            <w:r w:rsidRPr="001A26EA">
              <w:t>41</w:t>
            </w:r>
          </w:p>
        </w:tc>
        <w:tc>
          <w:tcPr>
            <w:tcW w:w="886" w:type="dxa"/>
            <w:noWrap/>
          </w:tcPr>
          <w:p w:rsidR="00543AC4" w:rsidRPr="001A26EA" w:rsidRDefault="00543AC4" w:rsidP="002F561D">
            <w:r w:rsidRPr="001A26EA">
              <w:t>48</w:t>
            </w:r>
          </w:p>
        </w:tc>
        <w:tc>
          <w:tcPr>
            <w:tcW w:w="886" w:type="dxa"/>
            <w:noWrap/>
          </w:tcPr>
          <w:p w:rsidR="00543AC4" w:rsidRPr="001A26EA" w:rsidRDefault="00543AC4" w:rsidP="002F561D">
            <w:r w:rsidRPr="001A26EA">
              <w:t>51</w:t>
            </w:r>
          </w:p>
        </w:tc>
        <w:tc>
          <w:tcPr>
            <w:tcW w:w="1710" w:type="dxa"/>
          </w:tcPr>
          <w:p w:rsidR="00543AC4" w:rsidRDefault="00543AC4" w:rsidP="002F561D">
            <w:pPr>
              <w:rPr>
                <w:lang w:val="es-ES" w:eastAsia="es-ES"/>
              </w:rPr>
            </w:pPr>
            <w:r>
              <w:rPr>
                <w:lang w:val="es-ES" w:eastAsia="es-ES"/>
              </w:rPr>
              <w:t xml:space="preserve">Informes anuales de las oficinas de país </w:t>
            </w:r>
          </w:p>
          <w:p w:rsidR="00543AC4" w:rsidRPr="00BD26C5" w:rsidRDefault="00543AC4" w:rsidP="002F561D">
            <w:pPr>
              <w:rPr>
                <w:lang w:val="es-AR"/>
              </w:rPr>
            </w:pPr>
          </w:p>
        </w:tc>
      </w:tr>
      <w:tr w:rsidR="00543AC4" w:rsidRPr="005144F6" w:rsidTr="000C4ABA">
        <w:trPr>
          <w:trHeight w:val="1637"/>
        </w:trPr>
        <w:tc>
          <w:tcPr>
            <w:tcW w:w="804" w:type="dxa"/>
            <w:vMerge/>
            <w:noWrap/>
          </w:tcPr>
          <w:p w:rsidR="00543AC4" w:rsidRPr="00BD26C5" w:rsidRDefault="00543AC4" w:rsidP="002F561D">
            <w:pPr>
              <w:rPr>
                <w:lang w:val="es-AR"/>
              </w:rPr>
            </w:pPr>
          </w:p>
        </w:tc>
        <w:tc>
          <w:tcPr>
            <w:tcW w:w="840" w:type="dxa"/>
            <w:vMerge/>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5.2: Número de países que tienen planes para casos de emergencia humanitaria que incluyen elementos para las necesidades de salud sexual y reproductiva de mujeres, adolescentes y jóvenes, incluidos servicios para sobrevivientes de violencia sexual en crisis</w:t>
            </w:r>
          </w:p>
        </w:tc>
        <w:tc>
          <w:tcPr>
            <w:tcW w:w="930" w:type="dxa"/>
            <w:gridSpan w:val="2"/>
            <w:noWrap/>
          </w:tcPr>
          <w:p w:rsidR="00543AC4" w:rsidRPr="001A26EA" w:rsidRDefault="00543AC4" w:rsidP="002F561D">
            <w:r w:rsidRPr="001A26EA">
              <w:t>32</w:t>
            </w:r>
          </w:p>
        </w:tc>
        <w:tc>
          <w:tcPr>
            <w:tcW w:w="841" w:type="dxa"/>
            <w:noWrap/>
          </w:tcPr>
          <w:p w:rsidR="00543AC4" w:rsidRPr="001A26EA" w:rsidRDefault="00543AC4" w:rsidP="002F561D">
            <w:r w:rsidRPr="001A26EA">
              <w:t>37</w:t>
            </w:r>
          </w:p>
        </w:tc>
        <w:tc>
          <w:tcPr>
            <w:tcW w:w="886" w:type="dxa"/>
            <w:noWrap/>
          </w:tcPr>
          <w:p w:rsidR="00543AC4" w:rsidRPr="001A26EA" w:rsidRDefault="00543AC4" w:rsidP="002F561D">
            <w:r w:rsidRPr="001A26EA">
              <w:t>44</w:t>
            </w:r>
          </w:p>
        </w:tc>
        <w:tc>
          <w:tcPr>
            <w:tcW w:w="886" w:type="dxa"/>
            <w:noWrap/>
          </w:tcPr>
          <w:p w:rsidR="00543AC4" w:rsidRPr="001A26EA" w:rsidRDefault="00543AC4" w:rsidP="002F561D">
            <w:r w:rsidRPr="001A26EA">
              <w:t>51</w:t>
            </w:r>
          </w:p>
        </w:tc>
        <w:tc>
          <w:tcPr>
            <w:tcW w:w="886" w:type="dxa"/>
            <w:noWrap/>
          </w:tcPr>
          <w:p w:rsidR="00543AC4" w:rsidRPr="001A26EA" w:rsidRDefault="00543AC4" w:rsidP="002F561D">
            <w:r w:rsidRPr="001A26EA">
              <w:t>54</w:t>
            </w:r>
          </w:p>
        </w:tc>
        <w:tc>
          <w:tcPr>
            <w:tcW w:w="1710" w:type="dxa"/>
          </w:tcPr>
          <w:p w:rsidR="00543AC4" w:rsidRDefault="00543AC4" w:rsidP="002F561D">
            <w:pPr>
              <w:rPr>
                <w:lang w:val="es-ES" w:eastAsia="es-ES"/>
              </w:rPr>
            </w:pPr>
            <w:r>
              <w:rPr>
                <w:lang w:val="es-ES" w:eastAsia="es-ES"/>
              </w:rPr>
              <w:t xml:space="preserve">Informes anuales de las oficinas depaís </w:t>
            </w:r>
          </w:p>
          <w:p w:rsidR="00543AC4" w:rsidRPr="00BD26C5" w:rsidRDefault="00543AC4" w:rsidP="002F561D">
            <w:pPr>
              <w:rPr>
                <w:lang w:val="es-AR"/>
              </w:rPr>
            </w:pPr>
          </w:p>
        </w:tc>
      </w:tr>
      <w:tr w:rsidR="00543AC4" w:rsidRPr="00600170" w:rsidTr="000C4ABA">
        <w:trPr>
          <w:trHeight w:val="1349"/>
        </w:trPr>
        <w:tc>
          <w:tcPr>
            <w:tcW w:w="804" w:type="dxa"/>
            <w:vMerge/>
            <w:noWrap/>
          </w:tcPr>
          <w:p w:rsidR="00543AC4" w:rsidRPr="00BD26C5" w:rsidRDefault="00543AC4" w:rsidP="002F561D">
            <w:pPr>
              <w:rPr>
                <w:lang w:val="es-AR"/>
              </w:rPr>
            </w:pPr>
          </w:p>
        </w:tc>
        <w:tc>
          <w:tcPr>
            <w:tcW w:w="3303" w:type="dxa"/>
            <w:gridSpan w:val="3"/>
            <w:vMerge w:val="restart"/>
            <w:shd w:val="clear" w:color="auto" w:fill="D9D9D9"/>
          </w:tcPr>
          <w:p w:rsidR="00543AC4" w:rsidRPr="00BD26C5" w:rsidRDefault="00543AC4" w:rsidP="002F561D">
            <w:pPr>
              <w:rPr>
                <w:lang w:val="es-AR"/>
              </w:rPr>
            </w:pPr>
            <w:r>
              <w:rPr>
                <w:b/>
                <w:bCs/>
                <w:lang w:val="es-ES" w:eastAsia="es-ES"/>
              </w:rPr>
              <w:t>Resultado final 2:</w:t>
            </w:r>
            <w:r>
              <w:rPr>
                <w:lang w:val="es-ES" w:eastAsia="es-ES"/>
              </w:rPr>
              <w:t xml:space="preserve"> Mayor prioridad para adolescentes, especialmente para niñas adolescentes muy jóvenes, en programas y políticas de desarrollo nacional, particularmente mayor disponibilidad de educación integral sobre la sexualidad y salud sexual y reproductiva</w:t>
            </w:r>
          </w:p>
        </w:tc>
        <w:tc>
          <w:tcPr>
            <w:tcW w:w="3434" w:type="dxa"/>
            <w:gridSpan w:val="3"/>
          </w:tcPr>
          <w:p w:rsidR="00543AC4" w:rsidRPr="00BD26C5" w:rsidRDefault="00543AC4" w:rsidP="00B44AF2">
            <w:pPr>
              <w:rPr>
                <w:lang w:val="es-AR"/>
              </w:rPr>
            </w:pPr>
            <w:r>
              <w:rPr>
                <w:lang w:val="es-ES" w:eastAsia="es-ES"/>
              </w:rPr>
              <w:t>Indicador 1 del resultado final 2: Porcentaje de mujeres y hombres jóvenes entre las edades de 15 y 24 que identifican de forma correcta las formas de prevenir la transmisión sexual del VIH y que rechazan los conceptos erróneos más importantes acerca de la transmisión del VIH (mujer/hombre)</w:t>
            </w:r>
          </w:p>
        </w:tc>
        <w:tc>
          <w:tcPr>
            <w:tcW w:w="930" w:type="dxa"/>
            <w:gridSpan w:val="2"/>
          </w:tcPr>
          <w:p w:rsidR="00543AC4" w:rsidRPr="001A26EA" w:rsidRDefault="00543AC4" w:rsidP="002F561D">
            <w:r>
              <w:rPr>
                <w:lang w:val="es-ES" w:eastAsia="es-ES"/>
              </w:rPr>
              <w:t>22%/ 32%</w:t>
            </w:r>
          </w:p>
        </w:tc>
        <w:tc>
          <w:tcPr>
            <w:tcW w:w="841" w:type="dxa"/>
          </w:tcPr>
          <w:p w:rsidR="00543AC4" w:rsidRPr="001A26EA" w:rsidRDefault="00543AC4" w:rsidP="002F561D">
            <w:r w:rsidRPr="001A26EA">
              <w:t> </w:t>
            </w:r>
          </w:p>
        </w:tc>
        <w:tc>
          <w:tcPr>
            <w:tcW w:w="886" w:type="dxa"/>
          </w:tcPr>
          <w:p w:rsidR="00543AC4" w:rsidRPr="001A26EA" w:rsidRDefault="00543AC4" w:rsidP="002F561D">
            <w:r>
              <w:rPr>
                <w:lang w:val="es-ES" w:eastAsia="es-ES"/>
              </w:rPr>
              <w:t>26%/ 28%</w:t>
            </w:r>
          </w:p>
        </w:tc>
        <w:tc>
          <w:tcPr>
            <w:tcW w:w="886" w:type="dxa"/>
          </w:tcPr>
          <w:p w:rsidR="00543AC4" w:rsidRPr="001A26EA" w:rsidRDefault="00543AC4" w:rsidP="002F561D">
            <w:r w:rsidRPr="001A26EA">
              <w:t> </w:t>
            </w:r>
          </w:p>
        </w:tc>
        <w:tc>
          <w:tcPr>
            <w:tcW w:w="886" w:type="dxa"/>
          </w:tcPr>
          <w:p w:rsidR="00543AC4" w:rsidRPr="001A26EA" w:rsidRDefault="00543AC4" w:rsidP="002F561D">
            <w:r>
              <w:rPr>
                <w:lang w:val="es-ES" w:eastAsia="es-ES"/>
              </w:rPr>
              <w:t>28%/ 38%</w:t>
            </w:r>
          </w:p>
        </w:tc>
        <w:tc>
          <w:tcPr>
            <w:tcW w:w="1710" w:type="dxa"/>
          </w:tcPr>
          <w:p w:rsidR="00543AC4" w:rsidRPr="00BD26C5" w:rsidRDefault="00543AC4" w:rsidP="002F561D">
            <w:pPr>
              <w:rPr>
                <w:lang w:val="es-AR"/>
              </w:rPr>
            </w:pPr>
            <w:r>
              <w:rPr>
                <w:lang w:val="es-ES" w:eastAsia="es-ES"/>
              </w:rPr>
              <w:t>Base de datos del UNFPA: MDG5b+Info</w:t>
            </w:r>
          </w:p>
        </w:tc>
      </w:tr>
      <w:tr w:rsidR="00543AC4" w:rsidRPr="005144F6" w:rsidTr="000C4ABA">
        <w:trPr>
          <w:trHeight w:val="1106"/>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2 del resultado final 2: Número de países que tienen leyes y políticas que permiten que los adolescentes (independientemente de su estado civil) accedan a servicios de salud sexual y reproductiva</w:t>
            </w:r>
          </w:p>
        </w:tc>
        <w:tc>
          <w:tcPr>
            <w:tcW w:w="930" w:type="dxa"/>
            <w:gridSpan w:val="2"/>
          </w:tcPr>
          <w:p w:rsidR="00543AC4" w:rsidRPr="00AF305B" w:rsidRDefault="00543AC4" w:rsidP="002F561D">
            <w:pPr>
              <w:rPr>
                <w:iCs/>
              </w:rPr>
            </w:pPr>
            <w:r>
              <w:rPr>
                <w:iCs/>
              </w:rPr>
              <w:t>74</w:t>
            </w:r>
          </w:p>
        </w:tc>
        <w:tc>
          <w:tcPr>
            <w:tcW w:w="841" w:type="dxa"/>
          </w:tcPr>
          <w:p w:rsidR="00543AC4" w:rsidRPr="00AF305B" w:rsidRDefault="00543AC4" w:rsidP="002F561D">
            <w:r w:rsidRPr="00AF305B">
              <w:t> </w:t>
            </w:r>
          </w:p>
        </w:tc>
        <w:tc>
          <w:tcPr>
            <w:tcW w:w="886" w:type="dxa"/>
          </w:tcPr>
          <w:p w:rsidR="00543AC4" w:rsidRPr="00AF305B" w:rsidRDefault="00543AC4" w:rsidP="002F561D">
            <w:pPr>
              <w:rPr>
                <w:iCs/>
              </w:rPr>
            </w:pPr>
            <w:r>
              <w:rPr>
                <w:iCs/>
              </w:rPr>
              <w:t>78</w:t>
            </w:r>
          </w:p>
        </w:tc>
        <w:tc>
          <w:tcPr>
            <w:tcW w:w="886" w:type="dxa"/>
          </w:tcPr>
          <w:p w:rsidR="00543AC4" w:rsidRPr="00AF305B" w:rsidRDefault="00543AC4" w:rsidP="002F561D">
            <w:r w:rsidRPr="00AF305B">
              <w:t> </w:t>
            </w:r>
          </w:p>
        </w:tc>
        <w:tc>
          <w:tcPr>
            <w:tcW w:w="886" w:type="dxa"/>
          </w:tcPr>
          <w:p w:rsidR="00543AC4" w:rsidRPr="00AF305B" w:rsidRDefault="00543AC4" w:rsidP="002F561D">
            <w:pPr>
              <w:rPr>
                <w:iCs/>
              </w:rPr>
            </w:pPr>
            <w:r>
              <w:rPr>
                <w:iCs/>
              </w:rPr>
              <w:t>88</w:t>
            </w:r>
          </w:p>
        </w:tc>
        <w:tc>
          <w:tcPr>
            <w:tcW w:w="1710" w:type="dxa"/>
          </w:tcPr>
          <w:p w:rsidR="00543AC4" w:rsidRDefault="00543AC4" w:rsidP="0001378E">
            <w:pPr>
              <w:rPr>
                <w:lang w:val="es-ES" w:eastAsia="es-ES"/>
              </w:rPr>
            </w:pPr>
            <w:r>
              <w:rPr>
                <w:lang w:val="es-ES" w:eastAsia="es-ES"/>
              </w:rPr>
              <w:t>Informes anuales de las oficinas de  país</w:t>
            </w:r>
          </w:p>
          <w:p w:rsidR="00543AC4" w:rsidRPr="00BD26C5" w:rsidRDefault="00543AC4" w:rsidP="0001378E">
            <w:pPr>
              <w:rPr>
                <w:lang w:val="es-AR"/>
              </w:rPr>
            </w:pPr>
          </w:p>
        </w:tc>
      </w:tr>
      <w:tr w:rsidR="00543AC4" w:rsidRPr="005144F6" w:rsidTr="000C4ABA">
        <w:trPr>
          <w:trHeight w:val="1200"/>
        </w:trPr>
        <w:tc>
          <w:tcPr>
            <w:tcW w:w="804" w:type="dxa"/>
            <w:vMerge/>
            <w:noWrap/>
          </w:tcPr>
          <w:p w:rsidR="00543AC4" w:rsidRPr="00BD26C5" w:rsidRDefault="00543AC4" w:rsidP="002F561D">
            <w:pPr>
              <w:rPr>
                <w:lang w:val="es-AR"/>
              </w:rPr>
            </w:pPr>
          </w:p>
        </w:tc>
        <w:tc>
          <w:tcPr>
            <w:tcW w:w="840" w:type="dxa"/>
            <w:vMerge w:val="restart"/>
            <w:noWrap/>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6:</w:t>
            </w:r>
            <w:r>
              <w:rPr>
                <w:lang w:val="es-ES" w:eastAsia="es-ES"/>
              </w:rPr>
              <w:t xml:space="preserve"> Mayor capacidad nacional para realizar promoción basada en la evidencia para incorporar adolescentes y jóvenes y sus necesidades/derechos humanos en leyes, políticas y programas nacionales, incluidos en entornos humanitarios</w:t>
            </w:r>
          </w:p>
        </w:tc>
        <w:tc>
          <w:tcPr>
            <w:tcW w:w="3434" w:type="dxa"/>
            <w:gridSpan w:val="3"/>
          </w:tcPr>
          <w:p w:rsidR="00543AC4" w:rsidRPr="00BD26C5" w:rsidRDefault="00543AC4" w:rsidP="002F561D">
            <w:pPr>
              <w:rPr>
                <w:lang w:val="es-AR"/>
              </w:rPr>
            </w:pPr>
            <w:r>
              <w:rPr>
                <w:lang w:val="es-ES" w:eastAsia="es-ES"/>
              </w:rPr>
              <w:t>6.1: Número de países con plataformas participativas que promueven mayores inversiones en los adolescentes y jóvenes marginados, dentro de programas y políticas de salud y desarrollo</w:t>
            </w:r>
          </w:p>
        </w:tc>
        <w:tc>
          <w:tcPr>
            <w:tcW w:w="930" w:type="dxa"/>
            <w:gridSpan w:val="2"/>
          </w:tcPr>
          <w:p w:rsidR="00543AC4" w:rsidRPr="001A26EA" w:rsidRDefault="00543AC4" w:rsidP="002F561D">
            <w:r w:rsidRPr="001A26EA">
              <w:t>53</w:t>
            </w:r>
          </w:p>
        </w:tc>
        <w:tc>
          <w:tcPr>
            <w:tcW w:w="841" w:type="dxa"/>
          </w:tcPr>
          <w:p w:rsidR="00543AC4" w:rsidRPr="001A26EA" w:rsidRDefault="00543AC4" w:rsidP="002F561D">
            <w:r w:rsidRPr="001A26EA">
              <w:t>74</w:t>
            </w:r>
          </w:p>
        </w:tc>
        <w:tc>
          <w:tcPr>
            <w:tcW w:w="886" w:type="dxa"/>
          </w:tcPr>
          <w:p w:rsidR="00543AC4" w:rsidRPr="001A26EA" w:rsidRDefault="00543AC4" w:rsidP="002F561D">
            <w:r w:rsidRPr="001A26EA">
              <w:t>93</w:t>
            </w:r>
          </w:p>
        </w:tc>
        <w:tc>
          <w:tcPr>
            <w:tcW w:w="886" w:type="dxa"/>
          </w:tcPr>
          <w:p w:rsidR="00543AC4" w:rsidRPr="001A26EA" w:rsidRDefault="00543AC4" w:rsidP="002F561D">
            <w:r w:rsidRPr="001A26EA">
              <w:t>105</w:t>
            </w:r>
          </w:p>
        </w:tc>
        <w:tc>
          <w:tcPr>
            <w:tcW w:w="886" w:type="dxa"/>
          </w:tcPr>
          <w:p w:rsidR="00543AC4" w:rsidRPr="001A26EA" w:rsidRDefault="00543AC4" w:rsidP="002F561D">
            <w:r w:rsidRPr="001A26EA">
              <w:t>110</w:t>
            </w:r>
          </w:p>
        </w:tc>
        <w:tc>
          <w:tcPr>
            <w:tcW w:w="1710" w:type="dxa"/>
          </w:tcPr>
          <w:p w:rsidR="00543AC4" w:rsidRDefault="00543AC4" w:rsidP="0001378E">
            <w:pPr>
              <w:rPr>
                <w:lang w:val="es-ES" w:eastAsia="es-ES"/>
              </w:rPr>
            </w:pPr>
            <w:r>
              <w:rPr>
                <w:lang w:val="es-ES" w:eastAsia="es-ES"/>
              </w:rPr>
              <w:t>Informes anuales de las oficinas de  país</w:t>
            </w:r>
          </w:p>
          <w:p w:rsidR="00543AC4" w:rsidRPr="00BD26C5" w:rsidRDefault="00543AC4" w:rsidP="0001378E">
            <w:pPr>
              <w:rPr>
                <w:lang w:val="es-AR"/>
              </w:rPr>
            </w:pPr>
          </w:p>
        </w:tc>
      </w:tr>
      <w:tr w:rsidR="00543AC4" w:rsidRPr="005144F6" w:rsidTr="000C4ABA">
        <w:trPr>
          <w:trHeight w:val="1215"/>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6.2: Número de países donde el UNFPA promueve que se permita a los adolescentes y jóvenes tener acceso legal a asesoría de salud sexual y reproductiva y servicios relacionados con el VIH</w:t>
            </w:r>
          </w:p>
        </w:tc>
        <w:tc>
          <w:tcPr>
            <w:tcW w:w="930" w:type="dxa"/>
            <w:gridSpan w:val="2"/>
          </w:tcPr>
          <w:p w:rsidR="00543AC4" w:rsidRPr="001A26EA" w:rsidRDefault="00543AC4" w:rsidP="002F561D">
            <w:r w:rsidRPr="001A26EA">
              <w:t>42</w:t>
            </w:r>
          </w:p>
        </w:tc>
        <w:tc>
          <w:tcPr>
            <w:tcW w:w="841" w:type="dxa"/>
          </w:tcPr>
          <w:p w:rsidR="00543AC4" w:rsidRPr="001A26EA" w:rsidRDefault="00543AC4" w:rsidP="002F561D">
            <w:r w:rsidRPr="001A26EA">
              <w:t>36</w:t>
            </w:r>
          </w:p>
        </w:tc>
        <w:tc>
          <w:tcPr>
            <w:tcW w:w="886" w:type="dxa"/>
          </w:tcPr>
          <w:p w:rsidR="00543AC4" w:rsidRPr="001A26EA" w:rsidRDefault="00543AC4" w:rsidP="002F561D">
            <w:r w:rsidRPr="001A26EA">
              <w:t>23</w:t>
            </w:r>
          </w:p>
        </w:tc>
        <w:tc>
          <w:tcPr>
            <w:tcW w:w="886" w:type="dxa"/>
          </w:tcPr>
          <w:p w:rsidR="00543AC4" w:rsidRPr="001A26EA" w:rsidRDefault="00543AC4" w:rsidP="002F561D">
            <w:r w:rsidRPr="001A26EA">
              <w:t>23</w:t>
            </w:r>
          </w:p>
        </w:tc>
        <w:tc>
          <w:tcPr>
            <w:tcW w:w="886" w:type="dxa"/>
          </w:tcPr>
          <w:p w:rsidR="00543AC4" w:rsidRPr="001A26EA" w:rsidRDefault="00543AC4" w:rsidP="002F561D">
            <w:r w:rsidRPr="001A26EA">
              <w:t>19</w:t>
            </w:r>
          </w:p>
        </w:tc>
        <w:tc>
          <w:tcPr>
            <w:tcW w:w="1710" w:type="dxa"/>
          </w:tcPr>
          <w:p w:rsidR="00543AC4" w:rsidRDefault="00543AC4" w:rsidP="0001378E">
            <w:pPr>
              <w:rPr>
                <w:lang w:val="es-ES" w:eastAsia="es-ES"/>
              </w:rPr>
            </w:pPr>
            <w:r>
              <w:rPr>
                <w:lang w:val="es-ES" w:eastAsia="es-ES"/>
              </w:rPr>
              <w:t>Informes anuales de las oficinas de  país</w:t>
            </w:r>
          </w:p>
          <w:p w:rsidR="00543AC4" w:rsidRPr="00BD26C5" w:rsidRDefault="00543AC4" w:rsidP="0001378E">
            <w:pPr>
              <w:rPr>
                <w:lang w:val="es-AR"/>
              </w:rPr>
            </w:pPr>
          </w:p>
        </w:tc>
      </w:tr>
      <w:tr w:rsidR="00543AC4" w:rsidRPr="008D1A6D" w:rsidTr="000C4ABA">
        <w:trPr>
          <w:trHeight w:val="1997"/>
        </w:trPr>
        <w:tc>
          <w:tcPr>
            <w:tcW w:w="804" w:type="dxa"/>
            <w:vMerge/>
            <w:noWrap/>
          </w:tcPr>
          <w:p w:rsidR="00543AC4" w:rsidRPr="00BD26C5" w:rsidRDefault="00543AC4" w:rsidP="002F561D">
            <w:pPr>
              <w:rPr>
                <w:lang w:val="es-AR"/>
              </w:rPr>
            </w:pPr>
          </w:p>
        </w:tc>
        <w:tc>
          <w:tcPr>
            <w:tcW w:w="840" w:type="dxa"/>
            <w:vMerge w:val="restart"/>
            <w:noWrap/>
          </w:tcPr>
          <w:p w:rsidR="00543AC4" w:rsidRPr="00BD26C5" w:rsidRDefault="00543AC4" w:rsidP="002F561D">
            <w:pPr>
              <w:rPr>
                <w:lang w:val="es-AR"/>
              </w:rPr>
            </w:pPr>
          </w:p>
        </w:tc>
        <w:tc>
          <w:tcPr>
            <w:tcW w:w="2463" w:type="dxa"/>
            <w:gridSpan w:val="2"/>
            <w:shd w:val="clear" w:color="auto" w:fill="F2F2F2"/>
          </w:tcPr>
          <w:p w:rsidR="00543AC4" w:rsidRPr="00BD26C5" w:rsidRDefault="00543AC4" w:rsidP="002F561D">
            <w:pPr>
              <w:rPr>
                <w:lang w:val="es-AR"/>
              </w:rPr>
            </w:pPr>
            <w:r>
              <w:rPr>
                <w:b/>
                <w:bCs/>
                <w:lang w:val="es-ES" w:eastAsia="es-ES"/>
              </w:rPr>
              <w:t>Producto 7:</w:t>
            </w:r>
            <w:r>
              <w:rPr>
                <w:lang w:val="es-ES" w:eastAsia="es-ES"/>
              </w:rPr>
              <w:t xml:space="preserve"> Mayor capacidad nacional para diseñar y aplicar programas de educación sexual integral (CSE, por sus siglas en inglés) basados en la comunidad y en la escuela que promuevan los derechos humanos y la igualdad de género</w:t>
            </w:r>
          </w:p>
        </w:tc>
        <w:tc>
          <w:tcPr>
            <w:tcW w:w="3434" w:type="dxa"/>
            <w:gridSpan w:val="3"/>
          </w:tcPr>
          <w:p w:rsidR="00543AC4" w:rsidRPr="00BD26C5" w:rsidRDefault="00543AC4" w:rsidP="002F561D">
            <w:pPr>
              <w:rPr>
                <w:lang w:val="es-AR"/>
              </w:rPr>
            </w:pPr>
            <w:r>
              <w:rPr>
                <w:lang w:val="es-ES" w:eastAsia="es-ES"/>
              </w:rPr>
              <w:t>7.1: Número de países en los que todos los planes de estudio de educación sexual integral están en línea con las normas internacionales</w:t>
            </w:r>
          </w:p>
        </w:tc>
        <w:tc>
          <w:tcPr>
            <w:tcW w:w="930" w:type="dxa"/>
            <w:gridSpan w:val="2"/>
          </w:tcPr>
          <w:p w:rsidR="00543AC4" w:rsidRPr="001A26EA" w:rsidRDefault="00543AC4" w:rsidP="002F561D">
            <w:r w:rsidRPr="001A26EA">
              <w:t>39</w:t>
            </w:r>
          </w:p>
        </w:tc>
        <w:tc>
          <w:tcPr>
            <w:tcW w:w="841" w:type="dxa"/>
          </w:tcPr>
          <w:p w:rsidR="00543AC4" w:rsidRPr="001A26EA" w:rsidRDefault="00543AC4" w:rsidP="002F561D">
            <w:r w:rsidRPr="001A26EA">
              <w:t>59</w:t>
            </w:r>
          </w:p>
        </w:tc>
        <w:tc>
          <w:tcPr>
            <w:tcW w:w="886" w:type="dxa"/>
          </w:tcPr>
          <w:p w:rsidR="00543AC4" w:rsidRPr="001A26EA" w:rsidRDefault="00543AC4" w:rsidP="002F561D">
            <w:r w:rsidRPr="001A26EA">
              <w:t>73</w:t>
            </w:r>
          </w:p>
        </w:tc>
        <w:tc>
          <w:tcPr>
            <w:tcW w:w="886" w:type="dxa"/>
          </w:tcPr>
          <w:p w:rsidR="00543AC4" w:rsidRPr="001A26EA" w:rsidRDefault="00543AC4" w:rsidP="002F561D">
            <w:r w:rsidRPr="001A26EA">
              <w:t>85</w:t>
            </w:r>
          </w:p>
        </w:tc>
        <w:tc>
          <w:tcPr>
            <w:tcW w:w="886" w:type="dxa"/>
          </w:tcPr>
          <w:p w:rsidR="00543AC4" w:rsidRPr="001A26EA" w:rsidRDefault="00543AC4" w:rsidP="002F561D">
            <w:r w:rsidRPr="001A26EA">
              <w:t>102</w:t>
            </w:r>
          </w:p>
        </w:tc>
        <w:tc>
          <w:tcPr>
            <w:tcW w:w="1710" w:type="dxa"/>
          </w:tcPr>
          <w:p w:rsidR="00543AC4" w:rsidRDefault="00543AC4" w:rsidP="0001378E">
            <w:pPr>
              <w:rPr>
                <w:lang w:val="es-ES" w:eastAsia="es-ES"/>
              </w:rPr>
            </w:pPr>
            <w:r>
              <w:rPr>
                <w:lang w:val="es-ES" w:eastAsia="es-ES"/>
              </w:rPr>
              <w:t>Informes anuales de las oficinas de  país</w:t>
            </w:r>
          </w:p>
          <w:p w:rsidR="00543AC4" w:rsidRPr="00BD26C5" w:rsidRDefault="00543AC4" w:rsidP="0001378E">
            <w:pPr>
              <w:rPr>
                <w:lang w:val="es-AR"/>
              </w:rPr>
            </w:pPr>
          </w:p>
        </w:tc>
      </w:tr>
      <w:tr w:rsidR="00543AC4" w:rsidRPr="008D1A6D" w:rsidTr="000C4ABA">
        <w:trPr>
          <w:trHeight w:val="1808"/>
        </w:trPr>
        <w:tc>
          <w:tcPr>
            <w:tcW w:w="804" w:type="dxa"/>
            <w:vMerge/>
            <w:tcBorders>
              <w:bottom w:val="nil"/>
            </w:tcBorders>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shd w:val="clear" w:color="auto" w:fill="F2F2F2"/>
          </w:tcPr>
          <w:p w:rsidR="00543AC4" w:rsidRPr="00BD26C5" w:rsidRDefault="00543AC4" w:rsidP="00B44AF2">
            <w:pPr>
              <w:rPr>
                <w:lang w:val="es-AR"/>
              </w:rPr>
            </w:pPr>
            <w:r>
              <w:rPr>
                <w:b/>
                <w:bCs/>
                <w:lang w:val="es-ES" w:eastAsia="es-ES"/>
              </w:rPr>
              <w:t>Producto 8:</w:t>
            </w:r>
            <w:r>
              <w:rPr>
                <w:lang w:val="es-ES" w:eastAsia="es-ES"/>
              </w:rPr>
              <w:t xml:space="preserve"> Mayor capacidad de los socios para diseñar y aplicar programas integrales para llegar a niñas adolescentes marginadas, incluidas aquellas que se encuentran </w:t>
            </w:r>
            <w:r w:rsidR="00A22828">
              <w:rPr>
                <w:lang w:val="es-ES" w:eastAsia="es-ES"/>
              </w:rPr>
              <w:t>en riesgo</w:t>
            </w:r>
            <w:r>
              <w:rPr>
                <w:lang w:val="es-ES" w:eastAsia="es-ES"/>
              </w:rPr>
              <w:t xml:space="preserve"> de matrimonios infantiles</w:t>
            </w:r>
          </w:p>
        </w:tc>
        <w:tc>
          <w:tcPr>
            <w:tcW w:w="3434" w:type="dxa"/>
            <w:gridSpan w:val="3"/>
          </w:tcPr>
          <w:p w:rsidR="00543AC4" w:rsidRPr="00BD26C5" w:rsidRDefault="00543AC4" w:rsidP="002F561D">
            <w:pPr>
              <w:rPr>
                <w:lang w:val="es-AR"/>
              </w:rPr>
            </w:pPr>
            <w:r>
              <w:rPr>
                <w:lang w:val="es-ES" w:eastAsia="es-ES"/>
              </w:rPr>
              <w:t>8.1: Número de países que tienen programas de generación de activos económicos y sociales que ayudan a niñas adolescentes en riesgo de matrimonio infantil</w:t>
            </w:r>
          </w:p>
        </w:tc>
        <w:tc>
          <w:tcPr>
            <w:tcW w:w="930" w:type="dxa"/>
            <w:gridSpan w:val="2"/>
          </w:tcPr>
          <w:p w:rsidR="00543AC4" w:rsidRPr="001A26EA" w:rsidRDefault="00543AC4" w:rsidP="002F561D">
            <w:r w:rsidRPr="001A26EA">
              <w:t>29</w:t>
            </w:r>
          </w:p>
        </w:tc>
        <w:tc>
          <w:tcPr>
            <w:tcW w:w="841" w:type="dxa"/>
          </w:tcPr>
          <w:p w:rsidR="00543AC4" w:rsidRPr="001A26EA" w:rsidRDefault="00543AC4" w:rsidP="002F561D">
            <w:r w:rsidRPr="001A26EA">
              <w:t>38</w:t>
            </w:r>
          </w:p>
        </w:tc>
        <w:tc>
          <w:tcPr>
            <w:tcW w:w="886" w:type="dxa"/>
          </w:tcPr>
          <w:p w:rsidR="00543AC4" w:rsidRPr="001A26EA" w:rsidRDefault="00543AC4" w:rsidP="002F561D">
            <w:r w:rsidRPr="001A26EA">
              <w:t>52</w:t>
            </w:r>
          </w:p>
        </w:tc>
        <w:tc>
          <w:tcPr>
            <w:tcW w:w="886" w:type="dxa"/>
          </w:tcPr>
          <w:p w:rsidR="00543AC4" w:rsidRPr="001A26EA" w:rsidRDefault="00543AC4" w:rsidP="002F561D">
            <w:r w:rsidRPr="001A26EA">
              <w:t>60</w:t>
            </w:r>
          </w:p>
        </w:tc>
        <w:tc>
          <w:tcPr>
            <w:tcW w:w="886" w:type="dxa"/>
          </w:tcPr>
          <w:p w:rsidR="00543AC4" w:rsidRPr="001A26EA" w:rsidRDefault="00543AC4" w:rsidP="002F561D">
            <w:r w:rsidRPr="001A26EA">
              <w:t>71</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1043"/>
        </w:trPr>
        <w:tc>
          <w:tcPr>
            <w:tcW w:w="804" w:type="dxa"/>
            <w:vMerge w:val="restart"/>
            <w:tcBorders>
              <w:top w:val="nil"/>
            </w:tcBorders>
            <w:noWrap/>
          </w:tcPr>
          <w:p w:rsidR="00543AC4" w:rsidRPr="00BD26C5" w:rsidRDefault="00543AC4" w:rsidP="002F561D">
            <w:pPr>
              <w:rPr>
                <w:lang w:val="es-AR"/>
              </w:rPr>
            </w:pPr>
          </w:p>
        </w:tc>
        <w:tc>
          <w:tcPr>
            <w:tcW w:w="3303" w:type="dxa"/>
            <w:gridSpan w:val="3"/>
            <w:vMerge w:val="restart"/>
            <w:shd w:val="clear" w:color="auto" w:fill="D9D9D9"/>
          </w:tcPr>
          <w:p w:rsidR="00543AC4" w:rsidRPr="00BD26C5" w:rsidRDefault="00543AC4" w:rsidP="002F561D">
            <w:pPr>
              <w:rPr>
                <w:lang w:val="es-AR"/>
              </w:rPr>
            </w:pPr>
            <w:r>
              <w:rPr>
                <w:b/>
                <w:bCs/>
                <w:lang w:val="es-ES" w:eastAsia="es-ES"/>
              </w:rPr>
              <w:t>Resultado final 3:</w:t>
            </w:r>
            <w:r>
              <w:rPr>
                <w:lang w:val="es-ES" w:eastAsia="es-ES"/>
              </w:rPr>
              <w:t xml:space="preserve"> Mayor igualdad de género, empoderamiento de mujeres y niñas y derechos reproductivos, incluidos aquellos para las mujeres, adolescentes y jóvenes más marginadas y vulnerables</w:t>
            </w:r>
          </w:p>
        </w:tc>
        <w:tc>
          <w:tcPr>
            <w:tcW w:w="3434" w:type="dxa"/>
            <w:gridSpan w:val="3"/>
          </w:tcPr>
          <w:p w:rsidR="00543AC4" w:rsidRPr="00BD26C5" w:rsidRDefault="00543AC4" w:rsidP="002F561D">
            <w:pPr>
              <w:rPr>
                <w:lang w:val="es-AR"/>
              </w:rPr>
            </w:pPr>
            <w:r>
              <w:rPr>
                <w:lang w:val="es-ES" w:eastAsia="es-ES"/>
              </w:rPr>
              <w:t>Indicador 1 del resultado final 3: Número de países con planes nacionales de acción para la igualdad de género que integran los derechos reproductivos con objetivos específicos y asignaciones del presupuesto público nacional</w:t>
            </w:r>
          </w:p>
        </w:tc>
        <w:tc>
          <w:tcPr>
            <w:tcW w:w="930" w:type="dxa"/>
            <w:gridSpan w:val="2"/>
          </w:tcPr>
          <w:p w:rsidR="00543AC4" w:rsidRPr="001A26EA" w:rsidRDefault="00543AC4" w:rsidP="002F561D">
            <w:r w:rsidRPr="001A26EA">
              <w:t>46</w:t>
            </w:r>
          </w:p>
        </w:tc>
        <w:tc>
          <w:tcPr>
            <w:tcW w:w="841" w:type="dxa"/>
          </w:tcPr>
          <w:p w:rsidR="00543AC4" w:rsidRPr="001A26EA" w:rsidRDefault="00543AC4" w:rsidP="002F561D">
            <w:r w:rsidRPr="001A26EA">
              <w:t> </w:t>
            </w:r>
          </w:p>
        </w:tc>
        <w:tc>
          <w:tcPr>
            <w:tcW w:w="886" w:type="dxa"/>
          </w:tcPr>
          <w:p w:rsidR="00543AC4" w:rsidRPr="001A26EA" w:rsidRDefault="00543AC4" w:rsidP="002F561D">
            <w:r w:rsidRPr="001A26EA">
              <w:t>62</w:t>
            </w:r>
          </w:p>
        </w:tc>
        <w:tc>
          <w:tcPr>
            <w:tcW w:w="886" w:type="dxa"/>
          </w:tcPr>
          <w:p w:rsidR="00543AC4" w:rsidRPr="001A26EA" w:rsidRDefault="00543AC4" w:rsidP="002F561D">
            <w:r w:rsidRPr="001A26EA">
              <w:t> </w:t>
            </w:r>
          </w:p>
        </w:tc>
        <w:tc>
          <w:tcPr>
            <w:tcW w:w="886" w:type="dxa"/>
          </w:tcPr>
          <w:p w:rsidR="00543AC4" w:rsidRPr="001A26EA" w:rsidRDefault="00543AC4" w:rsidP="002F561D">
            <w:r w:rsidRPr="001A26EA">
              <w:t>82</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0C4ABA">
        <w:trPr>
          <w:trHeight w:val="12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F65B7E">
            <w:pPr>
              <w:rPr>
                <w:lang w:val="es-AR"/>
              </w:rPr>
            </w:pPr>
            <w:r>
              <w:rPr>
                <w:lang w:val="es-ES" w:eastAsia="es-ES"/>
              </w:rPr>
              <w:t xml:space="preserve">Indicador 2 del resultado final 3: Proporción de países que han adoptado medidas sobre todas </w:t>
            </w:r>
            <w:r w:rsidR="00A22828">
              <w:rPr>
                <w:lang w:val="es-ES" w:eastAsia="es-ES"/>
              </w:rPr>
              <w:t>las recomendaciones</w:t>
            </w:r>
            <w:r>
              <w:rPr>
                <w:lang w:val="es-ES" w:eastAsia="es-ES"/>
              </w:rPr>
              <w:t xml:space="preserve"> aceptadas del Examen Periódico Universal (UPR, por sus siglas en inglés) sobre los derechos reproductivos de los ciclos de informes previos</w:t>
            </w:r>
          </w:p>
        </w:tc>
        <w:tc>
          <w:tcPr>
            <w:tcW w:w="930" w:type="dxa"/>
            <w:gridSpan w:val="2"/>
          </w:tcPr>
          <w:p w:rsidR="00543AC4" w:rsidRPr="001A26EA" w:rsidRDefault="00543AC4" w:rsidP="002F561D">
            <w:r>
              <w:rPr>
                <w:lang w:val="es-ES" w:eastAsia="es-ES"/>
              </w:rPr>
              <w:t>37%</w:t>
            </w:r>
          </w:p>
        </w:tc>
        <w:tc>
          <w:tcPr>
            <w:tcW w:w="841" w:type="dxa"/>
          </w:tcPr>
          <w:p w:rsidR="00543AC4" w:rsidRPr="001A26EA" w:rsidRDefault="00543AC4" w:rsidP="002F561D">
            <w:r w:rsidRPr="001A26EA">
              <w:t> </w:t>
            </w:r>
          </w:p>
        </w:tc>
        <w:tc>
          <w:tcPr>
            <w:tcW w:w="886" w:type="dxa"/>
          </w:tcPr>
          <w:p w:rsidR="00543AC4" w:rsidRPr="001A26EA" w:rsidRDefault="00543AC4" w:rsidP="00F65B7E">
            <w:r>
              <w:rPr>
                <w:lang w:val="es-ES" w:eastAsia="es-ES"/>
              </w:rPr>
              <w:t>43%</w:t>
            </w:r>
          </w:p>
        </w:tc>
        <w:tc>
          <w:tcPr>
            <w:tcW w:w="886" w:type="dxa"/>
          </w:tcPr>
          <w:p w:rsidR="00543AC4" w:rsidRPr="001A26EA" w:rsidRDefault="00543AC4" w:rsidP="002F561D">
            <w:r w:rsidRPr="001A26EA">
              <w:t> </w:t>
            </w:r>
          </w:p>
        </w:tc>
        <w:tc>
          <w:tcPr>
            <w:tcW w:w="886" w:type="dxa"/>
          </w:tcPr>
          <w:p w:rsidR="00543AC4" w:rsidRPr="001A26EA" w:rsidRDefault="00543AC4" w:rsidP="00F65B7E">
            <w:r>
              <w:rPr>
                <w:lang w:val="es-ES" w:eastAsia="es-ES"/>
              </w:rPr>
              <w:t>49%</w:t>
            </w:r>
          </w:p>
        </w:tc>
        <w:tc>
          <w:tcPr>
            <w:tcW w:w="1710" w:type="dxa"/>
          </w:tcPr>
          <w:p w:rsidR="00543AC4" w:rsidRPr="00BD26C5" w:rsidRDefault="00543AC4" w:rsidP="002F561D">
            <w:pPr>
              <w:rPr>
                <w:lang w:val="es-AR"/>
              </w:rPr>
            </w:pPr>
            <w:r>
              <w:rPr>
                <w:lang w:val="es-ES" w:eastAsia="es-ES"/>
              </w:rPr>
              <w:t>Base de datos del Consejo sobre Derechos Humanos</w:t>
            </w:r>
          </w:p>
        </w:tc>
      </w:tr>
      <w:tr w:rsidR="00543AC4" w:rsidRPr="00600170" w:rsidTr="000C4ABA">
        <w:trPr>
          <w:trHeight w:val="915"/>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F65B7E">
            <w:pPr>
              <w:rPr>
                <w:lang w:val="es-AR"/>
              </w:rPr>
            </w:pPr>
            <w:r>
              <w:rPr>
                <w:lang w:val="es-ES" w:eastAsia="es-ES"/>
              </w:rPr>
              <w:t>Indicador 3 del resultado final 3: Proporción de mujeres de 15-49 años de edad, que piensan que un esposo/compañero tiene justificación para golpear o castigar a su esposa/compañera bajo ciertas condiciones</w:t>
            </w:r>
          </w:p>
        </w:tc>
        <w:tc>
          <w:tcPr>
            <w:tcW w:w="930" w:type="dxa"/>
            <w:gridSpan w:val="2"/>
          </w:tcPr>
          <w:p w:rsidR="00543AC4" w:rsidRPr="001A26EA" w:rsidRDefault="00543AC4" w:rsidP="002F561D">
            <w:r>
              <w:rPr>
                <w:lang w:val="es-ES" w:eastAsia="es-ES"/>
              </w:rPr>
              <w:t>47%</w:t>
            </w:r>
          </w:p>
        </w:tc>
        <w:tc>
          <w:tcPr>
            <w:tcW w:w="841" w:type="dxa"/>
          </w:tcPr>
          <w:p w:rsidR="00543AC4" w:rsidRPr="001A26EA" w:rsidRDefault="00543AC4" w:rsidP="002F561D">
            <w:r w:rsidRPr="001A26EA">
              <w:t> </w:t>
            </w:r>
          </w:p>
        </w:tc>
        <w:tc>
          <w:tcPr>
            <w:tcW w:w="886" w:type="dxa"/>
          </w:tcPr>
          <w:p w:rsidR="00543AC4" w:rsidRPr="001A26EA" w:rsidRDefault="00543AC4" w:rsidP="002F561D">
            <w:r>
              <w:rPr>
                <w:lang w:val="es-ES" w:eastAsia="es-ES"/>
              </w:rPr>
              <w:t>42%</w:t>
            </w:r>
          </w:p>
        </w:tc>
        <w:tc>
          <w:tcPr>
            <w:tcW w:w="886" w:type="dxa"/>
          </w:tcPr>
          <w:p w:rsidR="00543AC4" w:rsidRPr="001A26EA" w:rsidRDefault="00543AC4" w:rsidP="002F561D">
            <w:r w:rsidRPr="001A26EA">
              <w:t> </w:t>
            </w:r>
          </w:p>
        </w:tc>
        <w:tc>
          <w:tcPr>
            <w:tcW w:w="886" w:type="dxa"/>
          </w:tcPr>
          <w:p w:rsidR="00543AC4" w:rsidRPr="001A26EA" w:rsidRDefault="00543AC4" w:rsidP="002F561D">
            <w:r>
              <w:rPr>
                <w:lang w:val="es-ES" w:eastAsia="es-ES"/>
              </w:rPr>
              <w:t>40%</w:t>
            </w:r>
          </w:p>
        </w:tc>
        <w:tc>
          <w:tcPr>
            <w:tcW w:w="1710" w:type="dxa"/>
          </w:tcPr>
          <w:p w:rsidR="00543AC4" w:rsidRPr="00BD26C5" w:rsidRDefault="00543AC4" w:rsidP="002F561D">
            <w:pPr>
              <w:rPr>
                <w:lang w:val="es-AR"/>
              </w:rPr>
            </w:pPr>
            <w:r>
              <w:rPr>
                <w:lang w:val="es-ES" w:eastAsia="es-ES"/>
              </w:rPr>
              <w:t>Base de datos del UNFPA: MDG5b+Info</w:t>
            </w:r>
          </w:p>
        </w:tc>
      </w:tr>
      <w:tr w:rsidR="00543AC4" w:rsidRPr="008D1A6D" w:rsidTr="000C4ABA">
        <w:trPr>
          <w:trHeight w:val="77"/>
        </w:trPr>
        <w:tc>
          <w:tcPr>
            <w:tcW w:w="804" w:type="dxa"/>
            <w:vMerge/>
            <w:noWrap/>
          </w:tcPr>
          <w:p w:rsidR="00543AC4" w:rsidRPr="00BD26C5" w:rsidRDefault="00543AC4" w:rsidP="002F561D">
            <w:pPr>
              <w:rPr>
                <w:lang w:val="es-AR"/>
              </w:rPr>
            </w:pPr>
          </w:p>
        </w:tc>
        <w:tc>
          <w:tcPr>
            <w:tcW w:w="840" w:type="dxa"/>
            <w:vMerge w:val="restart"/>
            <w:noWrap/>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9:</w:t>
            </w:r>
            <w:r>
              <w:rPr>
                <w:lang w:val="es-ES" w:eastAsia="es-ES"/>
              </w:rPr>
              <w:t xml:space="preserve"> Sistemas de protección nacionales e internacionales fortalecidos para promover los derechos reproductivos, fomentar la igualdad de género y la no discriminación y abordar la violencia basada en género</w:t>
            </w:r>
          </w:p>
        </w:tc>
        <w:tc>
          <w:tcPr>
            <w:tcW w:w="3434" w:type="dxa"/>
            <w:gridSpan w:val="3"/>
          </w:tcPr>
          <w:p w:rsidR="00543AC4" w:rsidRPr="00BD26C5" w:rsidRDefault="00543AC4" w:rsidP="002F561D">
            <w:pPr>
              <w:rPr>
                <w:lang w:val="es-AR"/>
              </w:rPr>
            </w:pPr>
            <w:r>
              <w:rPr>
                <w:lang w:val="es-ES" w:eastAsia="es-ES"/>
              </w:rPr>
              <w:t>9.1: Número de países en los que una Institución Nacional de Derechos Humanos ha realizado una encuesta nacional acerca del ejercicio de los derechos reproductivos y el derecho a la salud sexual y reproductiva</w:t>
            </w:r>
          </w:p>
        </w:tc>
        <w:tc>
          <w:tcPr>
            <w:tcW w:w="930" w:type="dxa"/>
            <w:gridSpan w:val="2"/>
          </w:tcPr>
          <w:p w:rsidR="00543AC4" w:rsidRPr="001A26EA" w:rsidRDefault="00543AC4" w:rsidP="002F561D">
            <w:r w:rsidRPr="001A26EA">
              <w:t>1</w:t>
            </w:r>
          </w:p>
        </w:tc>
        <w:tc>
          <w:tcPr>
            <w:tcW w:w="841" w:type="dxa"/>
          </w:tcPr>
          <w:p w:rsidR="00543AC4" w:rsidRPr="001A26EA" w:rsidRDefault="00543AC4" w:rsidP="002F561D">
            <w:r w:rsidRPr="001A26EA">
              <w:t>4</w:t>
            </w:r>
          </w:p>
        </w:tc>
        <w:tc>
          <w:tcPr>
            <w:tcW w:w="886" w:type="dxa"/>
          </w:tcPr>
          <w:p w:rsidR="00543AC4" w:rsidRPr="001A26EA" w:rsidRDefault="00543AC4" w:rsidP="002F561D">
            <w:r w:rsidRPr="001A26EA">
              <w:t>9</w:t>
            </w:r>
          </w:p>
        </w:tc>
        <w:tc>
          <w:tcPr>
            <w:tcW w:w="886" w:type="dxa"/>
          </w:tcPr>
          <w:p w:rsidR="00543AC4" w:rsidRPr="001A26EA" w:rsidRDefault="00543AC4" w:rsidP="002F561D">
            <w:r w:rsidRPr="001A26EA">
              <w:t>14</w:t>
            </w:r>
          </w:p>
        </w:tc>
        <w:tc>
          <w:tcPr>
            <w:tcW w:w="886" w:type="dxa"/>
          </w:tcPr>
          <w:p w:rsidR="00543AC4" w:rsidRPr="001A26EA" w:rsidRDefault="00543AC4" w:rsidP="002F561D">
            <w:r w:rsidRPr="001A26EA">
              <w:t>19</w:t>
            </w:r>
          </w:p>
        </w:tc>
        <w:tc>
          <w:tcPr>
            <w:tcW w:w="1710" w:type="dxa"/>
          </w:tcPr>
          <w:p w:rsidR="00543AC4" w:rsidRPr="00BD26C5" w:rsidRDefault="00543AC4" w:rsidP="008D1A6D">
            <w:pPr>
              <w:rPr>
                <w:lang w:val="es-AR"/>
              </w:rPr>
            </w:pPr>
            <w:r>
              <w:rPr>
                <w:lang w:val="es-ES" w:eastAsia="es-ES"/>
              </w:rPr>
              <w:t>I Informes anuales de las oficinas de  país</w:t>
            </w:r>
          </w:p>
        </w:tc>
      </w:tr>
      <w:tr w:rsidR="00543AC4" w:rsidRPr="008D1A6D" w:rsidTr="000C4ABA">
        <w:trPr>
          <w:trHeight w:val="1070"/>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9.2: Número de países con un sistema de seguimiento e informes en funcionamiento para hacer un seguimiento de la aplicación de las recomendaciones y obligaciones sobre derechos reproductivos</w:t>
            </w:r>
          </w:p>
        </w:tc>
        <w:tc>
          <w:tcPr>
            <w:tcW w:w="930" w:type="dxa"/>
            <w:gridSpan w:val="2"/>
          </w:tcPr>
          <w:p w:rsidR="00543AC4" w:rsidRPr="001A26EA" w:rsidRDefault="00543AC4" w:rsidP="002F561D">
            <w:r w:rsidRPr="001A26EA">
              <w:t>49</w:t>
            </w:r>
          </w:p>
        </w:tc>
        <w:tc>
          <w:tcPr>
            <w:tcW w:w="841" w:type="dxa"/>
          </w:tcPr>
          <w:p w:rsidR="00543AC4" w:rsidRPr="001A26EA" w:rsidRDefault="00543AC4" w:rsidP="002F561D">
            <w:r w:rsidRPr="001A26EA">
              <w:t>53</w:t>
            </w:r>
          </w:p>
        </w:tc>
        <w:tc>
          <w:tcPr>
            <w:tcW w:w="886" w:type="dxa"/>
          </w:tcPr>
          <w:p w:rsidR="00543AC4" w:rsidRPr="001A26EA" w:rsidRDefault="00543AC4" w:rsidP="002F561D">
            <w:r w:rsidRPr="001A26EA">
              <w:t>66</w:t>
            </w:r>
          </w:p>
        </w:tc>
        <w:tc>
          <w:tcPr>
            <w:tcW w:w="886" w:type="dxa"/>
          </w:tcPr>
          <w:p w:rsidR="00543AC4" w:rsidRPr="001A26EA" w:rsidRDefault="00543AC4" w:rsidP="002F561D">
            <w:r w:rsidRPr="001A26EA">
              <w:t>75</w:t>
            </w:r>
          </w:p>
        </w:tc>
        <w:tc>
          <w:tcPr>
            <w:tcW w:w="886" w:type="dxa"/>
          </w:tcPr>
          <w:p w:rsidR="00543AC4" w:rsidRPr="001A26EA" w:rsidRDefault="00543AC4" w:rsidP="002F561D">
            <w:r w:rsidRPr="001A26EA">
              <w:t>88</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809"/>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10:</w:t>
            </w:r>
            <w:r>
              <w:rPr>
                <w:lang w:val="es-ES" w:eastAsia="es-ES"/>
              </w:rPr>
              <w:t xml:space="preserve"> Mayor capacidad para prevenir la violencia y las prácticas perjudiciales basadas en el género y permitir la prestación de servicios multisectoriales, incluidos en entornos humanitarios</w:t>
            </w:r>
          </w:p>
        </w:tc>
        <w:tc>
          <w:tcPr>
            <w:tcW w:w="3434" w:type="dxa"/>
            <w:gridSpan w:val="3"/>
          </w:tcPr>
          <w:p w:rsidR="00543AC4" w:rsidRPr="00BD26C5" w:rsidRDefault="00543AC4" w:rsidP="00EA699D">
            <w:pPr>
              <w:rPr>
                <w:lang w:val="es-AR"/>
              </w:rPr>
            </w:pPr>
            <w:r>
              <w:rPr>
                <w:lang w:val="es-ES" w:eastAsia="es-ES"/>
              </w:rPr>
              <w:t xml:space="preserve">10.1: Número de países con prevención, protección y respuesta de la violencia basada en el género integradas en programas nacionales de la </w:t>
            </w:r>
            <w:r w:rsidRPr="005144F6">
              <w:rPr>
                <w:lang w:val="es-CO"/>
              </w:rPr>
              <w:t>salud sexual y reproductiva (</w:t>
            </w:r>
            <w:r>
              <w:rPr>
                <w:lang w:val="es-ES" w:eastAsia="es-ES"/>
              </w:rPr>
              <w:t>SRH, por sus siglas en inglés)</w:t>
            </w:r>
          </w:p>
        </w:tc>
        <w:tc>
          <w:tcPr>
            <w:tcW w:w="930" w:type="dxa"/>
            <w:gridSpan w:val="2"/>
          </w:tcPr>
          <w:p w:rsidR="00543AC4" w:rsidRPr="001A26EA" w:rsidRDefault="00543AC4" w:rsidP="002F561D">
            <w:r w:rsidRPr="001A26EA">
              <w:t>45</w:t>
            </w:r>
          </w:p>
        </w:tc>
        <w:tc>
          <w:tcPr>
            <w:tcW w:w="841" w:type="dxa"/>
          </w:tcPr>
          <w:p w:rsidR="00543AC4" w:rsidRPr="001A26EA" w:rsidRDefault="00543AC4" w:rsidP="002F561D">
            <w:r w:rsidRPr="001A26EA">
              <w:t>52</w:t>
            </w:r>
          </w:p>
        </w:tc>
        <w:tc>
          <w:tcPr>
            <w:tcW w:w="886" w:type="dxa"/>
          </w:tcPr>
          <w:p w:rsidR="00543AC4" w:rsidRPr="001A26EA" w:rsidRDefault="00543AC4" w:rsidP="002F561D">
            <w:r w:rsidRPr="001A26EA">
              <w:t>64</w:t>
            </w:r>
          </w:p>
        </w:tc>
        <w:tc>
          <w:tcPr>
            <w:tcW w:w="886" w:type="dxa"/>
          </w:tcPr>
          <w:p w:rsidR="00543AC4" w:rsidRPr="001A26EA" w:rsidRDefault="00543AC4" w:rsidP="002F561D">
            <w:r w:rsidRPr="001A26EA">
              <w:t>69</w:t>
            </w:r>
          </w:p>
        </w:tc>
        <w:tc>
          <w:tcPr>
            <w:tcW w:w="886" w:type="dxa"/>
          </w:tcPr>
          <w:p w:rsidR="00543AC4" w:rsidRPr="001A26EA" w:rsidRDefault="00543AC4" w:rsidP="002F561D">
            <w:r w:rsidRPr="001A26EA">
              <w:t>92</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1106"/>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EA699D">
            <w:pPr>
              <w:rPr>
                <w:lang w:val="es-AR"/>
              </w:rPr>
            </w:pPr>
            <w:r>
              <w:rPr>
                <w:lang w:val="es-ES" w:eastAsia="es-ES"/>
              </w:rPr>
              <w:t xml:space="preserve">10.2: Porcentaje de países afectados por una crisis humanitaria que tienen un organismo interinstitucional  de coordinación sobre la violencia por razón de género en funcionamiento como resultado de la guía y el liderazgo </w:t>
            </w:r>
            <w:r>
              <w:rPr>
                <w:lang w:val="es-ES" w:eastAsia="es-ES"/>
              </w:rPr>
              <w:lastRenderedPageBreak/>
              <w:t>del UNFPA</w:t>
            </w:r>
          </w:p>
        </w:tc>
        <w:tc>
          <w:tcPr>
            <w:tcW w:w="930" w:type="dxa"/>
            <w:gridSpan w:val="2"/>
            <w:noWrap/>
          </w:tcPr>
          <w:p w:rsidR="00543AC4" w:rsidRPr="001A26EA" w:rsidRDefault="00543AC4" w:rsidP="002F561D">
            <w:r>
              <w:rPr>
                <w:lang w:val="es-ES" w:eastAsia="es-ES"/>
              </w:rPr>
              <w:lastRenderedPageBreak/>
              <w:t>38%</w:t>
            </w:r>
          </w:p>
        </w:tc>
        <w:tc>
          <w:tcPr>
            <w:tcW w:w="841" w:type="dxa"/>
            <w:noWrap/>
          </w:tcPr>
          <w:p w:rsidR="00543AC4" w:rsidRPr="001A26EA" w:rsidRDefault="00543AC4" w:rsidP="002F561D">
            <w:r>
              <w:rPr>
                <w:lang w:val="es-ES" w:eastAsia="es-ES"/>
              </w:rPr>
              <w:t>42%</w:t>
            </w:r>
          </w:p>
        </w:tc>
        <w:tc>
          <w:tcPr>
            <w:tcW w:w="886" w:type="dxa"/>
            <w:noWrap/>
          </w:tcPr>
          <w:p w:rsidR="00543AC4" w:rsidRPr="001A26EA" w:rsidRDefault="00543AC4" w:rsidP="002F561D">
            <w:r>
              <w:rPr>
                <w:lang w:val="es-ES" w:eastAsia="es-ES"/>
              </w:rPr>
              <w:t>45%</w:t>
            </w:r>
          </w:p>
        </w:tc>
        <w:tc>
          <w:tcPr>
            <w:tcW w:w="886" w:type="dxa"/>
            <w:noWrap/>
          </w:tcPr>
          <w:p w:rsidR="00543AC4" w:rsidRPr="001A26EA" w:rsidRDefault="00543AC4" w:rsidP="002F561D">
            <w:r>
              <w:rPr>
                <w:lang w:val="es-ES" w:eastAsia="es-ES"/>
              </w:rPr>
              <w:t>47%</w:t>
            </w:r>
          </w:p>
        </w:tc>
        <w:tc>
          <w:tcPr>
            <w:tcW w:w="886" w:type="dxa"/>
            <w:noWrap/>
          </w:tcPr>
          <w:p w:rsidR="00543AC4" w:rsidRPr="001A26EA" w:rsidRDefault="00543AC4" w:rsidP="002F561D">
            <w:r>
              <w:rPr>
                <w:lang w:val="es-ES" w:eastAsia="es-ES"/>
              </w:rPr>
              <w:t>50%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915"/>
        </w:trPr>
        <w:tc>
          <w:tcPr>
            <w:tcW w:w="804" w:type="dxa"/>
            <w:vMerge/>
            <w:shd w:val="clear" w:color="auto" w:fill="BFBFBF"/>
            <w:noWrap/>
          </w:tcPr>
          <w:p w:rsidR="00543AC4" w:rsidRPr="00BD26C5" w:rsidRDefault="00543AC4" w:rsidP="002F561D">
            <w:pPr>
              <w:rPr>
                <w:lang w:val="es-AR"/>
              </w:rPr>
            </w:pPr>
          </w:p>
        </w:tc>
        <w:tc>
          <w:tcPr>
            <w:tcW w:w="840" w:type="dxa"/>
            <w:vMerge/>
            <w:shd w:val="clear" w:color="auto" w:fill="D9D9D9"/>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10.3: Número de comunidades respaldadas por el UNFPA que declaran el abandono de la mutilación/ablación de los genitales femeninos (FGM/C, por sus siglas en inglés)</w:t>
            </w:r>
          </w:p>
        </w:tc>
        <w:tc>
          <w:tcPr>
            <w:tcW w:w="930" w:type="dxa"/>
            <w:gridSpan w:val="2"/>
          </w:tcPr>
          <w:p w:rsidR="00543AC4" w:rsidRPr="001A26EA" w:rsidRDefault="00543AC4" w:rsidP="002F561D">
            <w:r w:rsidRPr="001A26EA">
              <w:t>1,367</w:t>
            </w:r>
          </w:p>
        </w:tc>
        <w:tc>
          <w:tcPr>
            <w:tcW w:w="841" w:type="dxa"/>
          </w:tcPr>
          <w:p w:rsidR="00543AC4" w:rsidRPr="001A26EA" w:rsidRDefault="00543AC4" w:rsidP="002F561D">
            <w:r w:rsidRPr="001A26EA">
              <w:t>1,800</w:t>
            </w:r>
          </w:p>
        </w:tc>
        <w:tc>
          <w:tcPr>
            <w:tcW w:w="886" w:type="dxa"/>
          </w:tcPr>
          <w:p w:rsidR="00543AC4" w:rsidRPr="001A26EA" w:rsidRDefault="00543AC4" w:rsidP="002F561D">
            <w:r w:rsidRPr="001A26EA">
              <w:t>2,000</w:t>
            </w:r>
          </w:p>
        </w:tc>
        <w:tc>
          <w:tcPr>
            <w:tcW w:w="886" w:type="dxa"/>
          </w:tcPr>
          <w:p w:rsidR="00543AC4" w:rsidRPr="001A26EA" w:rsidRDefault="00543AC4" w:rsidP="002F561D">
            <w:r w:rsidRPr="001A26EA">
              <w:t>2,200</w:t>
            </w:r>
          </w:p>
        </w:tc>
        <w:tc>
          <w:tcPr>
            <w:tcW w:w="886" w:type="dxa"/>
          </w:tcPr>
          <w:p w:rsidR="00543AC4" w:rsidRPr="001A26EA" w:rsidRDefault="00543AC4" w:rsidP="002F561D">
            <w:r w:rsidRPr="001A26EA">
              <w:t>2,500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0C4ABA">
        <w:trPr>
          <w:trHeight w:val="1268"/>
        </w:trPr>
        <w:tc>
          <w:tcPr>
            <w:tcW w:w="804" w:type="dxa"/>
            <w:vMerge/>
            <w:shd w:val="clear" w:color="auto" w:fill="BFBFBF"/>
            <w:noWrap/>
          </w:tcPr>
          <w:p w:rsidR="00543AC4" w:rsidRPr="00BD26C5" w:rsidRDefault="00543AC4" w:rsidP="002F561D">
            <w:pPr>
              <w:rPr>
                <w:lang w:val="es-AR"/>
              </w:rPr>
            </w:pPr>
          </w:p>
        </w:tc>
        <w:tc>
          <w:tcPr>
            <w:tcW w:w="840" w:type="dxa"/>
            <w:vMerge/>
            <w:shd w:val="clear" w:color="auto" w:fill="D9D9D9"/>
            <w:noWrap/>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2F561D">
            <w:pPr>
              <w:rPr>
                <w:lang w:val="es-AR"/>
              </w:rPr>
            </w:pPr>
            <w:r>
              <w:rPr>
                <w:b/>
                <w:bCs/>
                <w:lang w:val="es-ES" w:eastAsia="es-ES"/>
              </w:rPr>
              <w:t>Producto 11:</w:t>
            </w:r>
            <w:r>
              <w:rPr>
                <w:lang w:val="es-ES" w:eastAsia="es-ES"/>
              </w:rPr>
              <w:t xml:space="preserve"> Compromiso fortalecido de las organizaciones de la sociedad civil para promover los derechos reproductivos y el empoderamiento de la mujer y abordar la discriminación, incluida la relacionada con los grupos marginalizados y vulnerables, personas que viven con VIH y poblaciones clave</w:t>
            </w:r>
          </w:p>
        </w:tc>
        <w:tc>
          <w:tcPr>
            <w:tcW w:w="3434" w:type="dxa"/>
            <w:gridSpan w:val="3"/>
          </w:tcPr>
          <w:p w:rsidR="00543AC4" w:rsidRPr="00BD26C5" w:rsidRDefault="00543AC4" w:rsidP="002F561D">
            <w:pPr>
              <w:rPr>
                <w:lang w:val="es-AR"/>
              </w:rPr>
            </w:pPr>
            <w:r>
              <w:rPr>
                <w:lang w:val="es-ES" w:eastAsia="es-ES"/>
              </w:rPr>
              <w:t>11.1: Número de países en los que las organizaciones de la sociedad civil han aplicado mecanismos de rendición de cuentas para abordar los derechos reproductivos de la mujer y niñas y de poblaciones clave y marginadas</w:t>
            </w:r>
          </w:p>
        </w:tc>
        <w:tc>
          <w:tcPr>
            <w:tcW w:w="930" w:type="dxa"/>
            <w:gridSpan w:val="2"/>
          </w:tcPr>
          <w:p w:rsidR="00543AC4" w:rsidRPr="001A26EA" w:rsidRDefault="00543AC4" w:rsidP="002F561D">
            <w:r w:rsidRPr="001A26EA">
              <w:t>12</w:t>
            </w:r>
          </w:p>
        </w:tc>
        <w:tc>
          <w:tcPr>
            <w:tcW w:w="841" w:type="dxa"/>
          </w:tcPr>
          <w:p w:rsidR="00543AC4" w:rsidRPr="001A26EA" w:rsidRDefault="00543AC4" w:rsidP="002F561D">
            <w:r w:rsidRPr="001A26EA">
              <w:t>15</w:t>
            </w:r>
          </w:p>
        </w:tc>
        <w:tc>
          <w:tcPr>
            <w:tcW w:w="886" w:type="dxa"/>
          </w:tcPr>
          <w:p w:rsidR="00543AC4" w:rsidRPr="001A26EA" w:rsidRDefault="00543AC4" w:rsidP="002F561D">
            <w:r w:rsidRPr="001A26EA">
              <w:t>17</w:t>
            </w:r>
          </w:p>
        </w:tc>
        <w:tc>
          <w:tcPr>
            <w:tcW w:w="886" w:type="dxa"/>
          </w:tcPr>
          <w:p w:rsidR="00543AC4" w:rsidRPr="001A26EA" w:rsidRDefault="00543AC4" w:rsidP="002F561D">
            <w:r w:rsidRPr="001A26EA">
              <w:t>19</w:t>
            </w:r>
          </w:p>
        </w:tc>
        <w:tc>
          <w:tcPr>
            <w:tcW w:w="886" w:type="dxa"/>
          </w:tcPr>
          <w:p w:rsidR="00543AC4" w:rsidRPr="001A26EA" w:rsidRDefault="00543AC4" w:rsidP="002F561D">
            <w:r w:rsidRPr="001A26EA">
              <w:t>20</w:t>
            </w:r>
          </w:p>
        </w:tc>
        <w:tc>
          <w:tcPr>
            <w:tcW w:w="1710" w:type="dxa"/>
          </w:tcPr>
          <w:p w:rsidR="00543AC4" w:rsidRDefault="00543AC4" w:rsidP="008D1A6D">
            <w:pPr>
              <w:rPr>
                <w:lang w:val="es-AR"/>
              </w:rPr>
            </w:pPr>
            <w:r>
              <w:rPr>
                <w:lang w:val="es-ES" w:eastAsia="es-ES"/>
              </w:rPr>
              <w:t xml:space="preserve">Informes anuales de las oficinas de  país </w:t>
            </w:r>
          </w:p>
        </w:tc>
      </w:tr>
      <w:tr w:rsidR="00543AC4" w:rsidRPr="008D1A6D" w:rsidTr="000C4ABA">
        <w:trPr>
          <w:trHeight w:val="1515"/>
        </w:trPr>
        <w:tc>
          <w:tcPr>
            <w:tcW w:w="804" w:type="dxa"/>
            <w:vMerge/>
            <w:shd w:val="clear" w:color="auto" w:fill="BFBFBF"/>
            <w:noWrap/>
          </w:tcPr>
          <w:p w:rsidR="00543AC4" w:rsidRPr="00BD26C5" w:rsidRDefault="00543AC4" w:rsidP="002F561D">
            <w:pPr>
              <w:rPr>
                <w:lang w:val="es-AR"/>
              </w:rPr>
            </w:pPr>
          </w:p>
        </w:tc>
        <w:tc>
          <w:tcPr>
            <w:tcW w:w="840" w:type="dxa"/>
            <w:vMerge/>
            <w:shd w:val="clear" w:color="auto" w:fill="D9D9D9"/>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 xml:space="preserve">11.2: Número de países en que las organizaciones de la sociedad civil han respaldado la institucionalización de programas para comprometer a hombres y niños en la igualdad entre los géneros [incluida la </w:t>
            </w:r>
            <w:r w:rsidRPr="005144F6">
              <w:rPr>
                <w:lang w:val="es-CO"/>
              </w:rPr>
              <w:t>violencia por razón de gén</w:t>
            </w:r>
            <w:r>
              <w:rPr>
                <w:lang w:val="es-ES" w:eastAsia="es-ES"/>
              </w:rPr>
              <w:t>ero,(GBV, por sus siglas en inglés)], y los derechos reproductivos y de salud sexual y reproductiva</w:t>
            </w:r>
          </w:p>
        </w:tc>
        <w:tc>
          <w:tcPr>
            <w:tcW w:w="930" w:type="dxa"/>
            <w:gridSpan w:val="2"/>
          </w:tcPr>
          <w:p w:rsidR="00543AC4" w:rsidRPr="001A26EA" w:rsidRDefault="00543AC4" w:rsidP="002F561D">
            <w:r w:rsidRPr="001A26EA">
              <w:t>17</w:t>
            </w:r>
          </w:p>
        </w:tc>
        <w:tc>
          <w:tcPr>
            <w:tcW w:w="841" w:type="dxa"/>
          </w:tcPr>
          <w:p w:rsidR="00543AC4" w:rsidRPr="001A26EA" w:rsidRDefault="00543AC4" w:rsidP="002F561D">
            <w:r w:rsidRPr="001A26EA">
              <w:t>27</w:t>
            </w:r>
          </w:p>
        </w:tc>
        <w:tc>
          <w:tcPr>
            <w:tcW w:w="886" w:type="dxa"/>
          </w:tcPr>
          <w:p w:rsidR="00543AC4" w:rsidRPr="001A26EA" w:rsidRDefault="00543AC4" w:rsidP="002F561D">
            <w:r w:rsidRPr="001A26EA">
              <w:t>38</w:t>
            </w:r>
          </w:p>
        </w:tc>
        <w:tc>
          <w:tcPr>
            <w:tcW w:w="886" w:type="dxa"/>
          </w:tcPr>
          <w:p w:rsidR="00543AC4" w:rsidRPr="001A26EA" w:rsidRDefault="00543AC4" w:rsidP="002F561D">
            <w:r w:rsidRPr="001A26EA">
              <w:t>43</w:t>
            </w:r>
          </w:p>
        </w:tc>
        <w:tc>
          <w:tcPr>
            <w:tcW w:w="886" w:type="dxa"/>
          </w:tcPr>
          <w:p w:rsidR="00543AC4" w:rsidRPr="001A26EA" w:rsidRDefault="00543AC4" w:rsidP="002F561D">
            <w:r w:rsidRPr="001A26EA">
              <w:t>54</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1097"/>
        </w:trPr>
        <w:tc>
          <w:tcPr>
            <w:tcW w:w="804" w:type="dxa"/>
            <w:vMerge/>
            <w:tcBorders>
              <w:bottom w:val="nil"/>
            </w:tcBorders>
            <w:shd w:val="clear" w:color="auto" w:fill="BFBFBF"/>
            <w:noWrap/>
          </w:tcPr>
          <w:p w:rsidR="00543AC4" w:rsidRPr="00BD26C5" w:rsidRDefault="00543AC4" w:rsidP="002F561D">
            <w:pPr>
              <w:rPr>
                <w:lang w:val="es-AR"/>
              </w:rPr>
            </w:pPr>
          </w:p>
        </w:tc>
        <w:tc>
          <w:tcPr>
            <w:tcW w:w="3303" w:type="dxa"/>
            <w:gridSpan w:val="3"/>
            <w:vMerge w:val="restart"/>
            <w:shd w:val="clear" w:color="auto" w:fill="D9D9D9"/>
          </w:tcPr>
          <w:p w:rsidR="00543AC4" w:rsidRPr="00BD26C5" w:rsidRDefault="00543AC4" w:rsidP="00BD3420">
            <w:pPr>
              <w:rPr>
                <w:lang w:val="es-AR"/>
              </w:rPr>
            </w:pPr>
            <w:r>
              <w:rPr>
                <w:b/>
                <w:bCs/>
                <w:lang w:val="es-ES" w:eastAsia="es-ES"/>
              </w:rPr>
              <w:t>Resultado final 4:</w:t>
            </w:r>
            <w:r>
              <w:rPr>
                <w:lang w:val="es-ES" w:eastAsia="es-ES"/>
              </w:rPr>
              <w:t xml:space="preserve"> Políticas nacionales y agendas de desarrollo internacional fortalecidas mediante la integración de análisis basados en la evidencia sobre la dinámica  poblacional y sus vínculos con el desarrollo sostenible, los derechos reproductivos y de salud sexual y reproductiva, VIH y la igualdad entre los géneros</w:t>
            </w:r>
          </w:p>
        </w:tc>
        <w:tc>
          <w:tcPr>
            <w:tcW w:w="3434" w:type="dxa"/>
            <w:gridSpan w:val="3"/>
          </w:tcPr>
          <w:p w:rsidR="00543AC4" w:rsidRPr="00BD26C5" w:rsidRDefault="00543AC4" w:rsidP="002F561D">
            <w:pPr>
              <w:rPr>
                <w:lang w:val="es-AR"/>
              </w:rPr>
            </w:pPr>
            <w:r>
              <w:rPr>
                <w:lang w:val="es-ES" w:eastAsia="es-ES"/>
              </w:rPr>
              <w:t>Indicador 1 del resultado final 4: Número de países que han tenido al menos un censo de buena calidad que se procesó, analizó y difundió según las recomendaciones acordadas a nivel internacional (en los últimos 10 años)</w:t>
            </w:r>
          </w:p>
        </w:tc>
        <w:tc>
          <w:tcPr>
            <w:tcW w:w="930" w:type="dxa"/>
            <w:gridSpan w:val="2"/>
          </w:tcPr>
          <w:p w:rsidR="00543AC4" w:rsidRPr="001A26EA" w:rsidRDefault="00543AC4" w:rsidP="002F561D">
            <w:r w:rsidRPr="001A26EA">
              <w:t>66</w:t>
            </w:r>
          </w:p>
        </w:tc>
        <w:tc>
          <w:tcPr>
            <w:tcW w:w="841" w:type="dxa"/>
          </w:tcPr>
          <w:p w:rsidR="00543AC4" w:rsidRPr="001A26EA" w:rsidRDefault="00543AC4" w:rsidP="002F561D"/>
        </w:tc>
        <w:tc>
          <w:tcPr>
            <w:tcW w:w="886" w:type="dxa"/>
          </w:tcPr>
          <w:p w:rsidR="00543AC4" w:rsidRPr="001A26EA" w:rsidRDefault="00543AC4" w:rsidP="002F561D">
            <w:r w:rsidRPr="001A26EA">
              <w:t>112</w:t>
            </w:r>
          </w:p>
        </w:tc>
        <w:tc>
          <w:tcPr>
            <w:tcW w:w="886" w:type="dxa"/>
          </w:tcPr>
          <w:p w:rsidR="00543AC4" w:rsidRPr="001A26EA" w:rsidRDefault="00543AC4" w:rsidP="002F561D"/>
        </w:tc>
        <w:tc>
          <w:tcPr>
            <w:tcW w:w="886" w:type="dxa"/>
          </w:tcPr>
          <w:p w:rsidR="00543AC4" w:rsidRPr="001A26EA" w:rsidRDefault="00543AC4" w:rsidP="002F561D">
            <w:r w:rsidRPr="001A26EA">
              <w:t>117</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120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2 del resultado final 4: Número de países que han recopilado analizado y difundido una encuesta por hogares que permite la estimación de indicadores de poblaciones clave y de salud reproductiva (en los últimos 5 años)</w:t>
            </w:r>
          </w:p>
        </w:tc>
        <w:tc>
          <w:tcPr>
            <w:tcW w:w="930" w:type="dxa"/>
            <w:gridSpan w:val="2"/>
          </w:tcPr>
          <w:p w:rsidR="00543AC4" w:rsidRPr="001A26EA" w:rsidRDefault="00543AC4" w:rsidP="002F561D">
            <w:r>
              <w:t>69</w:t>
            </w:r>
          </w:p>
        </w:tc>
        <w:tc>
          <w:tcPr>
            <w:tcW w:w="841" w:type="dxa"/>
          </w:tcPr>
          <w:p w:rsidR="00543AC4" w:rsidRPr="001A26EA" w:rsidRDefault="00543AC4" w:rsidP="002F561D"/>
        </w:tc>
        <w:tc>
          <w:tcPr>
            <w:tcW w:w="886" w:type="dxa"/>
          </w:tcPr>
          <w:p w:rsidR="00543AC4" w:rsidRPr="001A26EA" w:rsidRDefault="00543AC4" w:rsidP="002F561D">
            <w:r>
              <w:t>95</w:t>
            </w:r>
          </w:p>
        </w:tc>
        <w:tc>
          <w:tcPr>
            <w:tcW w:w="886" w:type="dxa"/>
          </w:tcPr>
          <w:p w:rsidR="00543AC4" w:rsidRPr="001A26EA" w:rsidRDefault="00543AC4" w:rsidP="002F561D"/>
        </w:tc>
        <w:tc>
          <w:tcPr>
            <w:tcW w:w="886" w:type="dxa"/>
          </w:tcPr>
          <w:p w:rsidR="00543AC4" w:rsidRPr="001A26EA" w:rsidRDefault="00543AC4" w:rsidP="002F561D">
            <w:r>
              <w:t>110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1133"/>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3 del resultado final 4: Número de países que han completado evaluaciones sobre intervenciones estratégicas en relación con la salud sexual y reproductiva de adolescentes y jóvenes</w:t>
            </w:r>
          </w:p>
        </w:tc>
        <w:tc>
          <w:tcPr>
            <w:tcW w:w="930" w:type="dxa"/>
            <w:gridSpan w:val="2"/>
          </w:tcPr>
          <w:p w:rsidR="00543AC4" w:rsidRPr="001A26EA" w:rsidRDefault="00543AC4" w:rsidP="002F561D">
            <w:r w:rsidRPr="001A26EA">
              <w:t>26</w:t>
            </w:r>
          </w:p>
        </w:tc>
        <w:tc>
          <w:tcPr>
            <w:tcW w:w="841" w:type="dxa"/>
          </w:tcPr>
          <w:p w:rsidR="00543AC4" w:rsidRPr="001A26EA" w:rsidRDefault="00543AC4" w:rsidP="002F561D"/>
        </w:tc>
        <w:tc>
          <w:tcPr>
            <w:tcW w:w="886" w:type="dxa"/>
          </w:tcPr>
          <w:p w:rsidR="00543AC4" w:rsidRPr="001A26EA" w:rsidRDefault="00543AC4" w:rsidP="002F561D">
            <w:r w:rsidRPr="001A26EA">
              <w:t>68</w:t>
            </w:r>
          </w:p>
        </w:tc>
        <w:tc>
          <w:tcPr>
            <w:tcW w:w="886" w:type="dxa"/>
          </w:tcPr>
          <w:p w:rsidR="00543AC4" w:rsidRPr="001A26EA" w:rsidRDefault="00543AC4" w:rsidP="002F561D"/>
        </w:tc>
        <w:tc>
          <w:tcPr>
            <w:tcW w:w="886" w:type="dxa"/>
          </w:tcPr>
          <w:p w:rsidR="00543AC4" w:rsidRPr="001A26EA" w:rsidRDefault="00543AC4" w:rsidP="002F561D">
            <w:r w:rsidRPr="001A26EA">
              <w:t>108</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0C4ABA">
        <w:trPr>
          <w:trHeight w:val="125"/>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Indicador 4 del resultado final 4: Porcentaje de documentos de resultado final de reuniones intergubernamentales regionales y globales de alto nivel que abordan la salud sexual y reproductiva, los derechos reproductivos, la igualdad entre géneros, las necesidades de adolescentes y jóvenes y la dinámica de la población</w:t>
            </w:r>
          </w:p>
        </w:tc>
        <w:tc>
          <w:tcPr>
            <w:tcW w:w="930" w:type="dxa"/>
            <w:gridSpan w:val="2"/>
          </w:tcPr>
          <w:p w:rsidR="00543AC4" w:rsidRPr="000F7346" w:rsidRDefault="00543AC4" w:rsidP="002F561D">
            <w:pPr>
              <w:rPr>
                <w:iCs/>
              </w:rPr>
            </w:pPr>
            <w:r>
              <w:rPr>
                <w:lang w:val="es-ES" w:eastAsia="es-ES"/>
              </w:rPr>
              <w:t>No disponible</w:t>
            </w:r>
          </w:p>
        </w:tc>
        <w:tc>
          <w:tcPr>
            <w:tcW w:w="841" w:type="dxa"/>
          </w:tcPr>
          <w:p w:rsidR="00543AC4" w:rsidRPr="000F7346" w:rsidRDefault="00543AC4" w:rsidP="002F561D">
            <w:pPr>
              <w:rPr>
                <w:iCs/>
              </w:rPr>
            </w:pPr>
          </w:p>
        </w:tc>
        <w:tc>
          <w:tcPr>
            <w:tcW w:w="886" w:type="dxa"/>
          </w:tcPr>
          <w:p w:rsidR="00543AC4" w:rsidRPr="000F7346" w:rsidRDefault="00543AC4" w:rsidP="002F561D">
            <w:pPr>
              <w:rPr>
                <w:iCs/>
              </w:rPr>
            </w:pPr>
            <w:r>
              <w:rPr>
                <w:lang w:val="es-ES" w:eastAsia="es-ES"/>
              </w:rPr>
              <w:t>90%</w:t>
            </w:r>
          </w:p>
        </w:tc>
        <w:tc>
          <w:tcPr>
            <w:tcW w:w="886" w:type="dxa"/>
          </w:tcPr>
          <w:p w:rsidR="00543AC4" w:rsidRPr="000F7346" w:rsidRDefault="00543AC4" w:rsidP="002F561D">
            <w:pPr>
              <w:rPr>
                <w:iCs/>
              </w:rPr>
            </w:pPr>
          </w:p>
        </w:tc>
        <w:tc>
          <w:tcPr>
            <w:tcW w:w="886" w:type="dxa"/>
          </w:tcPr>
          <w:p w:rsidR="00543AC4" w:rsidRPr="000F7346" w:rsidRDefault="00543AC4" w:rsidP="002F561D">
            <w:pPr>
              <w:rPr>
                <w:iCs/>
              </w:rPr>
            </w:pPr>
            <w:r>
              <w:rPr>
                <w:lang w:val="es-ES" w:eastAsia="es-ES"/>
              </w:rPr>
              <w:t>90%</w:t>
            </w:r>
          </w:p>
        </w:tc>
        <w:tc>
          <w:tcPr>
            <w:tcW w:w="1710" w:type="dxa"/>
          </w:tcPr>
          <w:p w:rsidR="00543AC4" w:rsidRPr="00BD26C5" w:rsidRDefault="00543AC4" w:rsidP="002F561D">
            <w:pPr>
              <w:rPr>
                <w:lang w:val="es-AR"/>
              </w:rPr>
            </w:pPr>
            <w:r>
              <w:rPr>
                <w:lang w:val="es-ES" w:eastAsia="es-ES"/>
              </w:rPr>
              <w:t>Informes anuales de las oficinas regionales y de la sede</w:t>
            </w:r>
          </w:p>
        </w:tc>
      </w:tr>
      <w:tr w:rsidR="00543AC4" w:rsidRPr="00600170" w:rsidTr="000C4ABA">
        <w:trPr>
          <w:trHeight w:val="1340"/>
        </w:trPr>
        <w:tc>
          <w:tcPr>
            <w:tcW w:w="804" w:type="dxa"/>
            <w:vMerge/>
            <w:noWrap/>
          </w:tcPr>
          <w:p w:rsidR="00543AC4" w:rsidRPr="00BD26C5" w:rsidRDefault="00543AC4" w:rsidP="002F561D">
            <w:pPr>
              <w:rPr>
                <w:lang w:val="es-AR"/>
              </w:rPr>
            </w:pPr>
          </w:p>
        </w:tc>
        <w:tc>
          <w:tcPr>
            <w:tcW w:w="3303" w:type="dxa"/>
            <w:gridSpan w:val="3"/>
            <w:vMerge/>
            <w:shd w:val="clear" w:color="auto" w:fill="D9D9D9"/>
          </w:tcPr>
          <w:p w:rsidR="00543AC4" w:rsidRPr="00BD26C5" w:rsidRDefault="00543AC4" w:rsidP="002F561D">
            <w:pPr>
              <w:rPr>
                <w:lang w:val="es-AR"/>
              </w:rPr>
            </w:pPr>
          </w:p>
        </w:tc>
        <w:tc>
          <w:tcPr>
            <w:tcW w:w="3434" w:type="dxa"/>
            <w:gridSpan w:val="3"/>
          </w:tcPr>
          <w:p w:rsidR="00543AC4" w:rsidRPr="00BD26C5" w:rsidRDefault="00543AC4" w:rsidP="00BD3420">
            <w:pPr>
              <w:rPr>
                <w:lang w:val="es-AR"/>
              </w:rPr>
            </w:pPr>
            <w:r>
              <w:rPr>
                <w:lang w:val="es-ES" w:eastAsia="es-ES"/>
              </w:rPr>
              <w:t>Indicador 5 del resultado final 4: Proporción de nuevos planes de desarrollo nacional que abordan la dinámica de la población al incluir las tendencias y las proyecciones de la población en la definición de objetivos de desarrollo</w:t>
            </w:r>
          </w:p>
        </w:tc>
        <w:tc>
          <w:tcPr>
            <w:tcW w:w="930" w:type="dxa"/>
            <w:gridSpan w:val="2"/>
          </w:tcPr>
          <w:p w:rsidR="00543AC4" w:rsidRPr="000F7346" w:rsidRDefault="00543AC4" w:rsidP="002F561D">
            <w:pPr>
              <w:rPr>
                <w:iCs/>
              </w:rPr>
            </w:pPr>
            <w:r>
              <w:rPr>
                <w:lang w:val="es-ES" w:eastAsia="es-ES"/>
              </w:rPr>
              <w:t>No aplica</w:t>
            </w:r>
          </w:p>
        </w:tc>
        <w:tc>
          <w:tcPr>
            <w:tcW w:w="841" w:type="dxa"/>
          </w:tcPr>
          <w:p w:rsidR="00543AC4" w:rsidRPr="000F7346" w:rsidRDefault="00543AC4" w:rsidP="002F561D">
            <w:pPr>
              <w:rPr>
                <w:iCs/>
              </w:rPr>
            </w:pPr>
          </w:p>
        </w:tc>
        <w:tc>
          <w:tcPr>
            <w:tcW w:w="886" w:type="dxa"/>
          </w:tcPr>
          <w:p w:rsidR="00543AC4" w:rsidRPr="000F7346" w:rsidRDefault="00543AC4" w:rsidP="002F561D">
            <w:pPr>
              <w:rPr>
                <w:iCs/>
              </w:rPr>
            </w:pPr>
            <w:r>
              <w:rPr>
                <w:lang w:val="es-ES" w:eastAsia="es-ES"/>
              </w:rPr>
              <w:t>70%</w:t>
            </w:r>
          </w:p>
        </w:tc>
        <w:tc>
          <w:tcPr>
            <w:tcW w:w="886" w:type="dxa"/>
          </w:tcPr>
          <w:p w:rsidR="00543AC4" w:rsidRPr="000F7346" w:rsidRDefault="00543AC4" w:rsidP="002F561D">
            <w:pPr>
              <w:rPr>
                <w:iCs/>
              </w:rPr>
            </w:pPr>
          </w:p>
        </w:tc>
        <w:tc>
          <w:tcPr>
            <w:tcW w:w="886" w:type="dxa"/>
          </w:tcPr>
          <w:p w:rsidR="00543AC4" w:rsidRPr="000F7346" w:rsidRDefault="00543AC4" w:rsidP="002F561D">
            <w:pPr>
              <w:rPr>
                <w:iCs/>
              </w:rPr>
            </w:pPr>
            <w:r>
              <w:rPr>
                <w:lang w:val="es-ES" w:eastAsia="es-ES"/>
              </w:rPr>
              <w:t>70%</w:t>
            </w:r>
          </w:p>
        </w:tc>
        <w:tc>
          <w:tcPr>
            <w:tcW w:w="1710" w:type="dxa"/>
          </w:tcPr>
          <w:p w:rsidR="00543AC4" w:rsidRPr="00BD26C5" w:rsidRDefault="00543AC4" w:rsidP="002F561D">
            <w:pPr>
              <w:rPr>
                <w:lang w:val="es-AR"/>
              </w:rPr>
            </w:pPr>
            <w:r>
              <w:rPr>
                <w:lang w:val="es-ES" w:eastAsia="es-ES"/>
              </w:rPr>
              <w:t>Informes anuales de las oficinas regionales y de la sede</w:t>
            </w:r>
          </w:p>
        </w:tc>
      </w:tr>
      <w:tr w:rsidR="00543AC4" w:rsidRPr="008D1A6D" w:rsidTr="000C4ABA">
        <w:trPr>
          <w:trHeight w:val="692"/>
        </w:trPr>
        <w:tc>
          <w:tcPr>
            <w:tcW w:w="804" w:type="dxa"/>
            <w:vMerge/>
            <w:noWrap/>
          </w:tcPr>
          <w:p w:rsidR="00543AC4" w:rsidRPr="00BD26C5" w:rsidRDefault="00543AC4" w:rsidP="002F561D">
            <w:pPr>
              <w:rPr>
                <w:lang w:val="es-AR"/>
              </w:rPr>
            </w:pPr>
          </w:p>
        </w:tc>
        <w:tc>
          <w:tcPr>
            <w:tcW w:w="840" w:type="dxa"/>
            <w:vMerge w:val="restart"/>
            <w:noWrap/>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BD3420">
            <w:pPr>
              <w:rPr>
                <w:lang w:val="es-AR"/>
              </w:rPr>
            </w:pPr>
            <w:r>
              <w:rPr>
                <w:b/>
                <w:bCs/>
                <w:lang w:val="es-ES" w:eastAsia="es-ES"/>
              </w:rPr>
              <w:t>Producto 12:</w:t>
            </w:r>
            <w:r>
              <w:rPr>
                <w:lang w:val="es-ES" w:eastAsia="es-ES"/>
              </w:rPr>
              <w:t xml:space="preserve"> Mayor capacidad nacional para la producción y difusión de datos desagregados de calidad sobre población y desarrollo que permiten hacer un mapeo de las disparidades demográficas y las desigualdades socioeconómicas y la programación en entornos humanitarios</w:t>
            </w:r>
          </w:p>
        </w:tc>
        <w:tc>
          <w:tcPr>
            <w:tcW w:w="3434" w:type="dxa"/>
            <w:gridSpan w:val="3"/>
          </w:tcPr>
          <w:p w:rsidR="00543AC4" w:rsidRPr="00BD26C5" w:rsidRDefault="00543AC4" w:rsidP="002F561D">
            <w:pPr>
              <w:rPr>
                <w:lang w:val="es-AR"/>
              </w:rPr>
            </w:pPr>
            <w:r>
              <w:rPr>
                <w:lang w:val="es-ES" w:eastAsia="es-ES"/>
              </w:rPr>
              <w:t>12.1: Porcentaje de países que experimentan una situación de crisis humanitaria donde el UNFPA ha proporcionado asistencia técnica sobre el uso de datos relacionados con la población y apoyo para las evaluaciones</w:t>
            </w:r>
          </w:p>
        </w:tc>
        <w:tc>
          <w:tcPr>
            <w:tcW w:w="930" w:type="dxa"/>
            <w:gridSpan w:val="2"/>
          </w:tcPr>
          <w:p w:rsidR="00543AC4" w:rsidRPr="001A26EA" w:rsidRDefault="00543AC4" w:rsidP="002F561D">
            <w:r>
              <w:rPr>
                <w:lang w:val="es-ES" w:eastAsia="es-ES"/>
              </w:rPr>
              <w:t>65%</w:t>
            </w:r>
          </w:p>
        </w:tc>
        <w:tc>
          <w:tcPr>
            <w:tcW w:w="841" w:type="dxa"/>
          </w:tcPr>
          <w:p w:rsidR="00543AC4" w:rsidRPr="001A26EA" w:rsidRDefault="00543AC4" w:rsidP="002F561D">
            <w:r>
              <w:rPr>
                <w:lang w:val="es-ES" w:eastAsia="es-ES"/>
              </w:rPr>
              <w:t>67%</w:t>
            </w:r>
          </w:p>
        </w:tc>
        <w:tc>
          <w:tcPr>
            <w:tcW w:w="886" w:type="dxa"/>
          </w:tcPr>
          <w:p w:rsidR="00543AC4" w:rsidRPr="001A26EA" w:rsidRDefault="00543AC4" w:rsidP="002F561D">
            <w:r>
              <w:rPr>
                <w:lang w:val="es-ES" w:eastAsia="es-ES"/>
              </w:rPr>
              <w:t>70%</w:t>
            </w:r>
          </w:p>
        </w:tc>
        <w:tc>
          <w:tcPr>
            <w:tcW w:w="886" w:type="dxa"/>
          </w:tcPr>
          <w:p w:rsidR="00543AC4" w:rsidRPr="001A26EA" w:rsidRDefault="00543AC4" w:rsidP="002F561D">
            <w:r>
              <w:rPr>
                <w:lang w:val="es-ES" w:eastAsia="es-ES"/>
              </w:rPr>
              <w:t>75%</w:t>
            </w:r>
          </w:p>
        </w:tc>
        <w:tc>
          <w:tcPr>
            <w:tcW w:w="886" w:type="dxa"/>
          </w:tcPr>
          <w:p w:rsidR="00543AC4" w:rsidRPr="001A26EA" w:rsidRDefault="00543AC4" w:rsidP="002F561D">
            <w:r>
              <w:rPr>
                <w:lang w:val="es-ES" w:eastAsia="es-ES"/>
              </w:rPr>
              <w:t>80%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917"/>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12.2: Número de bases de datos con datos basados en la población que puede ser accedido por usuarios a través de plataformas web que facilitan el seguimiento de desigualdades socioeconómicas y demográficas</w:t>
            </w:r>
          </w:p>
        </w:tc>
        <w:tc>
          <w:tcPr>
            <w:tcW w:w="930" w:type="dxa"/>
            <w:gridSpan w:val="2"/>
          </w:tcPr>
          <w:p w:rsidR="00543AC4" w:rsidRPr="001A26EA" w:rsidRDefault="00543AC4" w:rsidP="002F561D">
            <w:r w:rsidRPr="001A26EA">
              <w:t>173</w:t>
            </w:r>
          </w:p>
        </w:tc>
        <w:tc>
          <w:tcPr>
            <w:tcW w:w="841" w:type="dxa"/>
          </w:tcPr>
          <w:p w:rsidR="00543AC4" w:rsidRPr="001A26EA" w:rsidRDefault="00543AC4" w:rsidP="002F561D">
            <w:r w:rsidRPr="001A26EA">
              <w:t>299</w:t>
            </w:r>
          </w:p>
        </w:tc>
        <w:tc>
          <w:tcPr>
            <w:tcW w:w="886" w:type="dxa"/>
          </w:tcPr>
          <w:p w:rsidR="00543AC4" w:rsidRPr="001A26EA" w:rsidRDefault="00543AC4" w:rsidP="002F561D">
            <w:r w:rsidRPr="001A26EA">
              <w:t>362</w:t>
            </w:r>
          </w:p>
        </w:tc>
        <w:tc>
          <w:tcPr>
            <w:tcW w:w="886" w:type="dxa"/>
          </w:tcPr>
          <w:p w:rsidR="00543AC4" w:rsidRPr="001A26EA" w:rsidRDefault="00543AC4" w:rsidP="002F561D">
            <w:r w:rsidRPr="001A26EA">
              <w:t>419</w:t>
            </w:r>
          </w:p>
        </w:tc>
        <w:tc>
          <w:tcPr>
            <w:tcW w:w="886" w:type="dxa"/>
          </w:tcPr>
          <w:p w:rsidR="00543AC4" w:rsidRPr="001A26EA" w:rsidRDefault="00543AC4" w:rsidP="002F561D">
            <w:r w:rsidRPr="001A26EA">
              <w:t>474</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0C4ABA">
        <w:trPr>
          <w:trHeight w:val="1340"/>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val="restart"/>
            <w:shd w:val="clear" w:color="auto" w:fill="F2F2F2"/>
          </w:tcPr>
          <w:p w:rsidR="00543AC4" w:rsidRPr="00BD26C5" w:rsidRDefault="00543AC4" w:rsidP="00BD3420">
            <w:pPr>
              <w:rPr>
                <w:lang w:val="es-AR"/>
              </w:rPr>
            </w:pPr>
            <w:r>
              <w:rPr>
                <w:b/>
                <w:bCs/>
                <w:lang w:val="es-ES" w:eastAsia="es-ES"/>
              </w:rPr>
              <w:t>Producto 13:</w:t>
            </w:r>
            <w:r>
              <w:rPr>
                <w:lang w:val="es-ES" w:eastAsia="es-ES"/>
              </w:rPr>
              <w:t xml:space="preserve"> Mayor capacidad de evidencia mediante el análisis profundo y novedoso de la dinámica poblacional, la salud sexual y reproductiva, VIH y sus vínculos con la erradicación de la pobreza y el desarrollo sostenible</w:t>
            </w:r>
          </w:p>
        </w:tc>
        <w:tc>
          <w:tcPr>
            <w:tcW w:w="3434" w:type="dxa"/>
            <w:gridSpan w:val="3"/>
          </w:tcPr>
          <w:p w:rsidR="00543AC4" w:rsidRPr="00BD26C5" w:rsidRDefault="00543AC4" w:rsidP="00BD3420">
            <w:pPr>
              <w:rPr>
                <w:lang w:val="es-AR"/>
              </w:rPr>
            </w:pPr>
            <w:r>
              <w:rPr>
                <w:lang w:val="es-ES" w:eastAsia="es-ES"/>
              </w:rPr>
              <w:t>13.1: Proporción de informes de procesos interinstitucionales e intergubernamentales regionales y globales que son respaldados por el UNFPA y que abordan la dinámica  poblacional al seguir las tendencias y las proyecciones de la población al establecer objetivos de desarrollo</w:t>
            </w:r>
          </w:p>
        </w:tc>
        <w:tc>
          <w:tcPr>
            <w:tcW w:w="930" w:type="dxa"/>
            <w:gridSpan w:val="2"/>
          </w:tcPr>
          <w:p w:rsidR="00543AC4" w:rsidRPr="009527A4" w:rsidRDefault="00543AC4" w:rsidP="002F561D">
            <w:pPr>
              <w:rPr>
                <w:iCs/>
              </w:rPr>
            </w:pPr>
            <w:r>
              <w:rPr>
                <w:lang w:val="es-ES" w:eastAsia="es-ES"/>
              </w:rPr>
              <w:t>No disponible</w:t>
            </w:r>
          </w:p>
        </w:tc>
        <w:tc>
          <w:tcPr>
            <w:tcW w:w="841" w:type="dxa"/>
          </w:tcPr>
          <w:p w:rsidR="00543AC4" w:rsidRPr="009527A4" w:rsidRDefault="00543AC4" w:rsidP="002F561D">
            <w:pPr>
              <w:rPr>
                <w:iCs/>
              </w:rPr>
            </w:pPr>
            <w:r>
              <w:rPr>
                <w:lang w:val="es-ES" w:eastAsia="es-ES"/>
              </w:rPr>
              <w:t>80%</w:t>
            </w:r>
          </w:p>
        </w:tc>
        <w:tc>
          <w:tcPr>
            <w:tcW w:w="886" w:type="dxa"/>
          </w:tcPr>
          <w:p w:rsidR="00543AC4" w:rsidRPr="009527A4" w:rsidRDefault="00543AC4" w:rsidP="002F561D">
            <w:pPr>
              <w:rPr>
                <w:iCs/>
              </w:rPr>
            </w:pPr>
            <w:r>
              <w:rPr>
                <w:lang w:val="es-ES" w:eastAsia="es-ES"/>
              </w:rPr>
              <w:t>80%</w:t>
            </w:r>
          </w:p>
        </w:tc>
        <w:tc>
          <w:tcPr>
            <w:tcW w:w="886" w:type="dxa"/>
          </w:tcPr>
          <w:p w:rsidR="00543AC4" w:rsidRPr="009527A4" w:rsidRDefault="00543AC4" w:rsidP="002F561D">
            <w:pPr>
              <w:rPr>
                <w:iCs/>
              </w:rPr>
            </w:pPr>
            <w:r>
              <w:rPr>
                <w:lang w:val="es-ES" w:eastAsia="es-ES"/>
              </w:rPr>
              <w:t>80%</w:t>
            </w:r>
          </w:p>
        </w:tc>
        <w:tc>
          <w:tcPr>
            <w:tcW w:w="886" w:type="dxa"/>
          </w:tcPr>
          <w:p w:rsidR="00543AC4" w:rsidRPr="009527A4" w:rsidRDefault="00543AC4" w:rsidP="002F561D">
            <w:pPr>
              <w:rPr>
                <w:iCs/>
              </w:rPr>
            </w:pPr>
            <w:r>
              <w:rPr>
                <w:lang w:val="es-ES" w:eastAsia="es-ES"/>
              </w:rPr>
              <w:t>80%</w:t>
            </w:r>
          </w:p>
        </w:tc>
        <w:tc>
          <w:tcPr>
            <w:tcW w:w="1710" w:type="dxa"/>
          </w:tcPr>
          <w:p w:rsidR="00543AC4" w:rsidRPr="00BD26C5" w:rsidRDefault="00543AC4" w:rsidP="002F561D">
            <w:pPr>
              <w:rPr>
                <w:lang w:val="es-AR"/>
              </w:rPr>
            </w:pPr>
            <w:r>
              <w:rPr>
                <w:lang w:val="es-ES" w:eastAsia="es-ES"/>
              </w:rPr>
              <w:t>Informes anuales de las oficinas regionales y de la sede</w:t>
            </w:r>
          </w:p>
        </w:tc>
      </w:tr>
      <w:tr w:rsidR="00543AC4" w:rsidRPr="00600170" w:rsidTr="000C4ABA">
        <w:trPr>
          <w:trHeight w:val="1115"/>
        </w:trPr>
        <w:tc>
          <w:tcPr>
            <w:tcW w:w="804" w:type="dxa"/>
            <w:vMerge/>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13.2: Número de herramientas desarrolladas a nivel global y regional para posibilitar la incorporación de hallazgos clave en la aplicación de la agenda de desarrollo posterior a 2015</w:t>
            </w:r>
          </w:p>
        </w:tc>
        <w:tc>
          <w:tcPr>
            <w:tcW w:w="930" w:type="dxa"/>
            <w:gridSpan w:val="2"/>
          </w:tcPr>
          <w:p w:rsidR="00543AC4" w:rsidRPr="00AF305B" w:rsidRDefault="00543AC4" w:rsidP="002F561D">
            <w:pPr>
              <w:rPr>
                <w:iCs/>
              </w:rPr>
            </w:pPr>
            <w:r w:rsidRPr="00AF305B">
              <w:rPr>
                <w:iCs/>
              </w:rPr>
              <w:t>0</w:t>
            </w:r>
          </w:p>
        </w:tc>
        <w:tc>
          <w:tcPr>
            <w:tcW w:w="841" w:type="dxa"/>
          </w:tcPr>
          <w:p w:rsidR="00543AC4" w:rsidRPr="00AF305B" w:rsidRDefault="00543AC4" w:rsidP="002F561D">
            <w:pPr>
              <w:rPr>
                <w:iCs/>
              </w:rPr>
            </w:pPr>
            <w:r w:rsidRPr="00AF305B">
              <w:rPr>
                <w:iCs/>
              </w:rPr>
              <w:t>2</w:t>
            </w:r>
          </w:p>
        </w:tc>
        <w:tc>
          <w:tcPr>
            <w:tcW w:w="886" w:type="dxa"/>
          </w:tcPr>
          <w:p w:rsidR="00543AC4" w:rsidRPr="00AF305B" w:rsidRDefault="00543AC4" w:rsidP="002F561D">
            <w:pPr>
              <w:rPr>
                <w:iCs/>
              </w:rPr>
            </w:pPr>
            <w:r w:rsidRPr="00AF305B">
              <w:rPr>
                <w:iCs/>
              </w:rPr>
              <w:t>2</w:t>
            </w:r>
          </w:p>
        </w:tc>
        <w:tc>
          <w:tcPr>
            <w:tcW w:w="886" w:type="dxa"/>
          </w:tcPr>
          <w:p w:rsidR="00543AC4" w:rsidRPr="00AF305B" w:rsidRDefault="00543AC4" w:rsidP="002F561D">
            <w:pPr>
              <w:rPr>
                <w:iCs/>
              </w:rPr>
            </w:pPr>
            <w:r w:rsidRPr="00AF305B">
              <w:rPr>
                <w:iCs/>
              </w:rPr>
              <w:t>4</w:t>
            </w:r>
          </w:p>
        </w:tc>
        <w:tc>
          <w:tcPr>
            <w:tcW w:w="886" w:type="dxa"/>
          </w:tcPr>
          <w:p w:rsidR="00543AC4" w:rsidRPr="00AF305B" w:rsidRDefault="00543AC4" w:rsidP="002F561D">
            <w:pPr>
              <w:rPr>
                <w:iCs/>
              </w:rPr>
            </w:pPr>
            <w:r w:rsidRPr="00AF305B">
              <w:rPr>
                <w:iCs/>
              </w:rPr>
              <w:t>4</w:t>
            </w:r>
          </w:p>
        </w:tc>
        <w:tc>
          <w:tcPr>
            <w:tcW w:w="1710" w:type="dxa"/>
          </w:tcPr>
          <w:p w:rsidR="00543AC4" w:rsidRPr="00BD26C5" w:rsidRDefault="00543AC4" w:rsidP="002F561D">
            <w:pPr>
              <w:rPr>
                <w:lang w:val="es-AR"/>
              </w:rPr>
            </w:pPr>
            <w:r>
              <w:rPr>
                <w:lang w:val="es-ES" w:eastAsia="es-ES"/>
              </w:rPr>
              <w:t>Informes anuales de las oficinas regionales y de la sede</w:t>
            </w:r>
          </w:p>
        </w:tc>
      </w:tr>
      <w:tr w:rsidR="00543AC4" w:rsidRPr="008D1A6D" w:rsidTr="000C4ABA">
        <w:trPr>
          <w:trHeight w:val="242"/>
        </w:trPr>
        <w:tc>
          <w:tcPr>
            <w:tcW w:w="804" w:type="dxa"/>
            <w:vMerge/>
            <w:tcBorders>
              <w:bottom w:val="nil"/>
            </w:tcBorders>
            <w:noWrap/>
          </w:tcPr>
          <w:p w:rsidR="00543AC4" w:rsidRPr="00BD26C5" w:rsidRDefault="00543AC4" w:rsidP="002F561D">
            <w:pPr>
              <w:rPr>
                <w:lang w:val="es-AR"/>
              </w:rPr>
            </w:pPr>
          </w:p>
        </w:tc>
        <w:tc>
          <w:tcPr>
            <w:tcW w:w="840" w:type="dxa"/>
            <w:vMerge/>
            <w:noWrap/>
          </w:tcPr>
          <w:p w:rsidR="00543AC4" w:rsidRPr="00BD26C5" w:rsidRDefault="00543AC4" w:rsidP="002F561D">
            <w:pPr>
              <w:rPr>
                <w:lang w:val="es-AR"/>
              </w:rPr>
            </w:pPr>
          </w:p>
        </w:tc>
        <w:tc>
          <w:tcPr>
            <w:tcW w:w="2463" w:type="dxa"/>
            <w:gridSpan w:val="2"/>
            <w:vMerge/>
            <w:shd w:val="clear" w:color="auto" w:fill="F2F2F2"/>
          </w:tcPr>
          <w:p w:rsidR="00543AC4" w:rsidRPr="00BD26C5" w:rsidRDefault="00543AC4" w:rsidP="002F561D">
            <w:pPr>
              <w:rPr>
                <w:lang w:val="es-AR"/>
              </w:rPr>
            </w:pPr>
          </w:p>
        </w:tc>
        <w:tc>
          <w:tcPr>
            <w:tcW w:w="3434" w:type="dxa"/>
            <w:gridSpan w:val="3"/>
          </w:tcPr>
          <w:p w:rsidR="00543AC4" w:rsidRPr="00BD26C5" w:rsidRDefault="00543AC4" w:rsidP="002F561D">
            <w:pPr>
              <w:rPr>
                <w:lang w:val="es-AR"/>
              </w:rPr>
            </w:pPr>
            <w:r>
              <w:rPr>
                <w:lang w:val="es-ES" w:eastAsia="es-ES"/>
              </w:rPr>
              <w:t xml:space="preserve">13.3: Número de países donde las autoridades nacionales de estadística tienen capacidad institucional para analizar y utilizar datos desagregados sobre a) adolescentes y jóvenes y b) violencia basada en el género </w:t>
            </w:r>
          </w:p>
        </w:tc>
        <w:tc>
          <w:tcPr>
            <w:tcW w:w="930" w:type="dxa"/>
            <w:gridSpan w:val="2"/>
          </w:tcPr>
          <w:p w:rsidR="00543AC4" w:rsidRPr="001A26EA" w:rsidRDefault="00543AC4" w:rsidP="002F561D">
            <w:r>
              <w:rPr>
                <w:lang w:val="es-ES" w:eastAsia="es-ES"/>
              </w:rPr>
              <w:t>a) 69</w:t>
            </w:r>
            <w:r>
              <w:rPr>
                <w:lang w:val="es-ES" w:eastAsia="es-ES"/>
              </w:rPr>
              <w:br/>
            </w:r>
            <w:r>
              <w:rPr>
                <w:lang w:val="es-ES" w:eastAsia="es-ES"/>
              </w:rPr>
              <w:br/>
              <w:t xml:space="preserve">b)  0 </w:t>
            </w:r>
          </w:p>
        </w:tc>
        <w:tc>
          <w:tcPr>
            <w:tcW w:w="841" w:type="dxa"/>
          </w:tcPr>
          <w:p w:rsidR="00543AC4" w:rsidRPr="001A26EA" w:rsidRDefault="00543AC4" w:rsidP="002F561D">
            <w:r>
              <w:rPr>
                <w:lang w:val="es-ES" w:eastAsia="es-ES"/>
              </w:rPr>
              <w:t>a) 86</w:t>
            </w:r>
            <w:r>
              <w:rPr>
                <w:lang w:val="es-ES" w:eastAsia="es-ES"/>
              </w:rPr>
              <w:br/>
            </w:r>
            <w:r>
              <w:rPr>
                <w:lang w:val="es-ES" w:eastAsia="es-ES"/>
              </w:rPr>
              <w:br/>
              <w:t>b) 5</w:t>
            </w:r>
          </w:p>
        </w:tc>
        <w:tc>
          <w:tcPr>
            <w:tcW w:w="886" w:type="dxa"/>
          </w:tcPr>
          <w:p w:rsidR="00543AC4" w:rsidRPr="001A26EA" w:rsidRDefault="00543AC4" w:rsidP="002F561D">
            <w:r>
              <w:rPr>
                <w:lang w:val="es-ES" w:eastAsia="es-ES"/>
              </w:rPr>
              <w:t>a) 101</w:t>
            </w:r>
            <w:r>
              <w:rPr>
                <w:lang w:val="es-ES" w:eastAsia="es-ES"/>
              </w:rPr>
              <w:br/>
            </w:r>
            <w:r>
              <w:rPr>
                <w:lang w:val="es-ES" w:eastAsia="es-ES"/>
              </w:rPr>
              <w:br/>
              <w:t>b) 10</w:t>
            </w:r>
          </w:p>
        </w:tc>
        <w:tc>
          <w:tcPr>
            <w:tcW w:w="886" w:type="dxa"/>
          </w:tcPr>
          <w:p w:rsidR="00543AC4" w:rsidRPr="000F7346" w:rsidRDefault="00543AC4" w:rsidP="002F561D">
            <w:r>
              <w:rPr>
                <w:lang w:val="es-ES" w:eastAsia="es-ES"/>
              </w:rPr>
              <w:t>a) 110</w:t>
            </w:r>
            <w:r>
              <w:rPr>
                <w:lang w:val="es-ES" w:eastAsia="es-ES"/>
              </w:rPr>
              <w:br/>
            </w:r>
            <w:r>
              <w:rPr>
                <w:lang w:val="es-ES" w:eastAsia="es-ES"/>
              </w:rPr>
              <w:br/>
              <w:t>b) 15</w:t>
            </w:r>
          </w:p>
        </w:tc>
        <w:tc>
          <w:tcPr>
            <w:tcW w:w="886" w:type="dxa"/>
          </w:tcPr>
          <w:p w:rsidR="00543AC4" w:rsidRPr="000F7346" w:rsidRDefault="00543AC4" w:rsidP="002F561D">
            <w:r>
              <w:rPr>
                <w:lang w:val="es-ES" w:eastAsia="es-ES"/>
              </w:rPr>
              <w:t>a) 117</w:t>
            </w:r>
            <w:r>
              <w:rPr>
                <w:lang w:val="es-ES" w:eastAsia="es-ES"/>
              </w:rPr>
              <w:br/>
            </w:r>
            <w:r>
              <w:rPr>
                <w:lang w:val="es-ES" w:eastAsia="es-ES"/>
              </w:rPr>
              <w:br/>
              <w:t>b) 20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152"/>
        </w:trPr>
        <w:tc>
          <w:tcPr>
            <w:tcW w:w="804" w:type="dxa"/>
            <w:tcBorders>
              <w:top w:val="nil"/>
              <w:bottom w:val="nil"/>
            </w:tcBorders>
            <w:noWrap/>
          </w:tcPr>
          <w:p w:rsidR="00543AC4" w:rsidRPr="00BD26C5" w:rsidRDefault="00543AC4" w:rsidP="002F561D">
            <w:pPr>
              <w:rPr>
                <w:lang w:val="es-AR"/>
              </w:rPr>
            </w:pPr>
          </w:p>
        </w:tc>
        <w:tc>
          <w:tcPr>
            <w:tcW w:w="840" w:type="dxa"/>
            <w:vMerge/>
            <w:tcBorders>
              <w:bottom w:val="nil"/>
            </w:tcBorders>
          </w:tcPr>
          <w:p w:rsidR="00543AC4" w:rsidRPr="00BD26C5" w:rsidRDefault="00543AC4" w:rsidP="002F561D">
            <w:pPr>
              <w:rPr>
                <w:lang w:val="es-AR"/>
              </w:rPr>
            </w:pPr>
          </w:p>
        </w:tc>
        <w:tc>
          <w:tcPr>
            <w:tcW w:w="2463" w:type="dxa"/>
            <w:gridSpan w:val="2"/>
            <w:shd w:val="clear" w:color="auto" w:fill="F2F2F2"/>
          </w:tcPr>
          <w:p w:rsidR="00543AC4" w:rsidRPr="00BD26C5" w:rsidRDefault="00543AC4" w:rsidP="002F561D">
            <w:pPr>
              <w:rPr>
                <w:lang w:val="es-AR"/>
              </w:rPr>
            </w:pPr>
            <w:r>
              <w:rPr>
                <w:b/>
                <w:bCs/>
                <w:lang w:val="es-ES" w:eastAsia="es-ES"/>
              </w:rPr>
              <w:t>Producto 14:</w:t>
            </w:r>
            <w:r>
              <w:rPr>
                <w:lang w:val="es-ES" w:eastAsia="es-ES"/>
              </w:rPr>
              <w:t xml:space="preserve"> Mayor capacidad para la formulación y aplicación de políticas basadas en derechos (globales, regionales y nacionales) que integran la evidencia sobre dinámica de la población, salud sexual y reproductiva, VIH y sus vínculos con el desarrollo sostenible</w:t>
            </w:r>
          </w:p>
        </w:tc>
        <w:tc>
          <w:tcPr>
            <w:tcW w:w="3434" w:type="dxa"/>
            <w:gridSpan w:val="3"/>
          </w:tcPr>
          <w:p w:rsidR="00543AC4" w:rsidRPr="00BD26C5" w:rsidRDefault="00543AC4" w:rsidP="002F561D">
            <w:pPr>
              <w:rPr>
                <w:lang w:val="es-AR"/>
              </w:rPr>
            </w:pPr>
            <w:r>
              <w:rPr>
                <w:lang w:val="es-ES" w:eastAsia="es-ES"/>
              </w:rPr>
              <w:t>14.1: Número de países que han aplicado el análisis de situación de la población (PSA, por sus siglas en inglés) para identificar prioridades y formular políticas y programas</w:t>
            </w:r>
          </w:p>
        </w:tc>
        <w:tc>
          <w:tcPr>
            <w:tcW w:w="930" w:type="dxa"/>
            <w:gridSpan w:val="2"/>
          </w:tcPr>
          <w:p w:rsidR="00543AC4" w:rsidRPr="001A26EA" w:rsidRDefault="00543AC4" w:rsidP="002F561D">
            <w:r>
              <w:t>15</w:t>
            </w:r>
          </w:p>
        </w:tc>
        <w:tc>
          <w:tcPr>
            <w:tcW w:w="841" w:type="dxa"/>
          </w:tcPr>
          <w:p w:rsidR="00543AC4" w:rsidRPr="001A26EA" w:rsidRDefault="00543AC4" w:rsidP="002F561D">
            <w:r>
              <w:t>48</w:t>
            </w:r>
          </w:p>
        </w:tc>
        <w:tc>
          <w:tcPr>
            <w:tcW w:w="886" w:type="dxa"/>
          </w:tcPr>
          <w:p w:rsidR="00543AC4" w:rsidRPr="001A26EA" w:rsidRDefault="00543AC4" w:rsidP="002F561D">
            <w:r>
              <w:t>66</w:t>
            </w:r>
          </w:p>
        </w:tc>
        <w:tc>
          <w:tcPr>
            <w:tcW w:w="886" w:type="dxa"/>
          </w:tcPr>
          <w:p w:rsidR="00543AC4" w:rsidRPr="001A26EA" w:rsidRDefault="00543AC4" w:rsidP="002F561D">
            <w:r>
              <w:t>78</w:t>
            </w:r>
          </w:p>
        </w:tc>
        <w:tc>
          <w:tcPr>
            <w:tcW w:w="886" w:type="dxa"/>
          </w:tcPr>
          <w:p w:rsidR="00543AC4" w:rsidRPr="001A26EA" w:rsidRDefault="00543AC4" w:rsidP="002F561D">
            <w:r>
              <w:t>80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8D1A6D" w:rsidTr="000C4ABA">
        <w:trPr>
          <w:trHeight w:val="377"/>
        </w:trPr>
        <w:tc>
          <w:tcPr>
            <w:tcW w:w="804" w:type="dxa"/>
            <w:tcBorders>
              <w:top w:val="nil"/>
            </w:tcBorders>
            <w:noWrap/>
          </w:tcPr>
          <w:p w:rsidR="00543AC4" w:rsidRPr="00BD26C5" w:rsidRDefault="00543AC4" w:rsidP="002F561D">
            <w:pPr>
              <w:rPr>
                <w:lang w:val="es-AR"/>
              </w:rPr>
            </w:pPr>
          </w:p>
        </w:tc>
        <w:tc>
          <w:tcPr>
            <w:tcW w:w="840" w:type="dxa"/>
            <w:tcBorders>
              <w:top w:val="nil"/>
            </w:tcBorders>
          </w:tcPr>
          <w:p w:rsidR="00543AC4" w:rsidRPr="00BD26C5" w:rsidRDefault="00543AC4" w:rsidP="002F561D">
            <w:pPr>
              <w:rPr>
                <w:lang w:val="es-AR"/>
              </w:rPr>
            </w:pPr>
          </w:p>
        </w:tc>
        <w:tc>
          <w:tcPr>
            <w:tcW w:w="2463" w:type="dxa"/>
            <w:gridSpan w:val="2"/>
            <w:shd w:val="clear" w:color="auto" w:fill="F2F2F2"/>
          </w:tcPr>
          <w:p w:rsidR="00543AC4" w:rsidRPr="00BD26C5" w:rsidRDefault="00543AC4" w:rsidP="008D1A6D">
            <w:pPr>
              <w:rPr>
                <w:lang w:val="es-AR"/>
              </w:rPr>
            </w:pPr>
            <w:r>
              <w:rPr>
                <w:b/>
                <w:bCs/>
                <w:lang w:val="es-ES" w:eastAsia="es-ES"/>
              </w:rPr>
              <w:t>Producto 15:</w:t>
            </w:r>
            <w:r>
              <w:rPr>
                <w:lang w:val="es-ES" w:eastAsia="es-ES"/>
              </w:rPr>
              <w:t xml:space="preserve"> Mayor capacidad nacional para utilizar datos y evidencia para monitorear y evaluar las políticas y programas nacionales en las áreas de dinámica poblacional, derechos reproductivos y de salud sexual y reproductiva, </w:t>
            </w:r>
            <w:r>
              <w:rPr>
                <w:lang w:val="es-ES" w:eastAsia="es-ES"/>
              </w:rPr>
              <w:lastRenderedPageBreak/>
              <w:t>VIH, adolescentes y jóvenes e igualdad entre los géneros, incluidos en entornos humanitarios</w:t>
            </w:r>
          </w:p>
        </w:tc>
        <w:tc>
          <w:tcPr>
            <w:tcW w:w="3434" w:type="dxa"/>
            <w:gridSpan w:val="3"/>
          </w:tcPr>
          <w:p w:rsidR="00543AC4" w:rsidRPr="00BD26C5" w:rsidRDefault="00543AC4" w:rsidP="00460F52">
            <w:pPr>
              <w:rPr>
                <w:lang w:val="es-AR"/>
              </w:rPr>
            </w:pPr>
            <w:r>
              <w:rPr>
                <w:lang w:val="es-ES" w:eastAsia="es-ES"/>
              </w:rPr>
              <w:lastRenderedPageBreak/>
              <w:t>15.1: Número de países que han desarrollado y aplicado procedimientos de monitoreo y evaluación científicamente sólidos al introducir nuevas intervenciones programáticas de salud sexual y reproductiva y de adolescentes y jóvenes</w:t>
            </w:r>
          </w:p>
        </w:tc>
        <w:tc>
          <w:tcPr>
            <w:tcW w:w="930" w:type="dxa"/>
            <w:gridSpan w:val="2"/>
          </w:tcPr>
          <w:p w:rsidR="00543AC4" w:rsidRPr="001A26EA" w:rsidRDefault="00543AC4" w:rsidP="002F561D">
            <w:r w:rsidRPr="001A26EA">
              <w:t>41</w:t>
            </w:r>
          </w:p>
        </w:tc>
        <w:tc>
          <w:tcPr>
            <w:tcW w:w="841" w:type="dxa"/>
          </w:tcPr>
          <w:p w:rsidR="00543AC4" w:rsidRPr="001A26EA" w:rsidRDefault="00543AC4" w:rsidP="002F561D">
            <w:r w:rsidRPr="001A26EA">
              <w:t>59</w:t>
            </w:r>
          </w:p>
        </w:tc>
        <w:tc>
          <w:tcPr>
            <w:tcW w:w="886" w:type="dxa"/>
          </w:tcPr>
          <w:p w:rsidR="00543AC4" w:rsidRPr="001A26EA" w:rsidRDefault="00543AC4" w:rsidP="002F561D">
            <w:r w:rsidRPr="001A26EA">
              <w:t>78</w:t>
            </w:r>
          </w:p>
        </w:tc>
        <w:tc>
          <w:tcPr>
            <w:tcW w:w="886" w:type="dxa"/>
          </w:tcPr>
          <w:p w:rsidR="00543AC4" w:rsidRPr="001A26EA" w:rsidRDefault="00543AC4" w:rsidP="002F561D">
            <w:r w:rsidRPr="001A26EA">
              <w:t>93</w:t>
            </w:r>
          </w:p>
        </w:tc>
        <w:tc>
          <w:tcPr>
            <w:tcW w:w="886" w:type="dxa"/>
          </w:tcPr>
          <w:p w:rsidR="00543AC4" w:rsidRPr="001A26EA" w:rsidRDefault="00543AC4" w:rsidP="002F561D">
            <w:r w:rsidRPr="001A26EA">
              <w:t>110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Tr="002F561D">
        <w:trPr>
          <w:trHeight w:val="315"/>
        </w:trPr>
        <w:tc>
          <w:tcPr>
            <w:tcW w:w="13680" w:type="dxa"/>
            <w:gridSpan w:val="14"/>
            <w:noWrap/>
            <w:vAlign w:val="center"/>
          </w:tcPr>
          <w:p w:rsidR="00543AC4" w:rsidRPr="006C5736" w:rsidRDefault="00543AC4" w:rsidP="002F561D">
            <w:pPr>
              <w:rPr>
                <w:b/>
              </w:rPr>
            </w:pPr>
            <w:r>
              <w:rPr>
                <w:b/>
                <w:bCs/>
                <w:lang w:val="es-ES" w:eastAsia="es-ES"/>
              </w:rPr>
              <w:lastRenderedPageBreak/>
              <w:t>Eficacia y eficiencia organizacionales</w:t>
            </w:r>
          </w:p>
        </w:tc>
      </w:tr>
      <w:tr w:rsidR="00543AC4" w:rsidRPr="00600170" w:rsidTr="002F561D">
        <w:trPr>
          <w:trHeight w:val="512"/>
        </w:trPr>
        <w:tc>
          <w:tcPr>
            <w:tcW w:w="1644" w:type="dxa"/>
            <w:gridSpan w:val="2"/>
            <w:vMerge w:val="restart"/>
            <w:noWrap/>
          </w:tcPr>
          <w:p w:rsidR="00543AC4" w:rsidRPr="001A26EA" w:rsidRDefault="00543AC4" w:rsidP="002F561D"/>
        </w:tc>
        <w:tc>
          <w:tcPr>
            <w:tcW w:w="2478" w:type="dxa"/>
            <w:gridSpan w:val="3"/>
            <w:vMerge w:val="restart"/>
            <w:shd w:val="clear" w:color="auto" w:fill="F2F2F2"/>
          </w:tcPr>
          <w:p w:rsidR="00543AC4" w:rsidRPr="00BD26C5" w:rsidRDefault="00543AC4" w:rsidP="002F561D">
            <w:pPr>
              <w:rPr>
                <w:lang w:val="es-AR"/>
              </w:rPr>
            </w:pPr>
            <w:r>
              <w:rPr>
                <w:b/>
                <w:bCs/>
                <w:lang w:val="es-ES" w:eastAsia="es-ES"/>
              </w:rPr>
              <w:t>Producto 1:</w:t>
            </w:r>
            <w:r>
              <w:rPr>
                <w:lang w:val="es-ES" w:eastAsia="es-ES"/>
              </w:rPr>
              <w:t xml:space="preserve"> Mayor eficacia de los programas al mejorar el aseguramiento de la calidad, la supervisión y la evaluación</w:t>
            </w:r>
          </w:p>
        </w:tc>
        <w:tc>
          <w:tcPr>
            <w:tcW w:w="2999" w:type="dxa"/>
          </w:tcPr>
          <w:p w:rsidR="00543AC4" w:rsidRPr="00BD26C5" w:rsidRDefault="00543AC4" w:rsidP="002F561D">
            <w:pPr>
              <w:rPr>
                <w:lang w:val="es-AR"/>
              </w:rPr>
            </w:pPr>
            <w:r>
              <w:rPr>
                <w:lang w:val="es-ES" w:eastAsia="es-ES"/>
              </w:rPr>
              <w:t>1.1: Porcentaje de programas en los países que cumplen con los criterios de calidad</w:t>
            </w:r>
            <w:r>
              <w:rPr>
                <w:i/>
                <w:iCs/>
                <w:lang w:val="es-ES" w:eastAsia="es-ES"/>
              </w:rPr>
              <w:t xml:space="preserve"> (QCPR)</w:t>
            </w:r>
          </w:p>
        </w:tc>
        <w:tc>
          <w:tcPr>
            <w:tcW w:w="1170" w:type="dxa"/>
            <w:gridSpan w:val="2"/>
          </w:tcPr>
          <w:p w:rsidR="00543AC4" w:rsidRPr="00BD26C5" w:rsidRDefault="00543AC4" w:rsidP="002F561D">
            <w:pPr>
              <w:rPr>
                <w:sz w:val="18"/>
                <w:lang w:val="es-AR"/>
              </w:rPr>
            </w:pPr>
            <w:r>
              <w:rPr>
                <w:sz w:val="18"/>
                <w:szCs w:val="18"/>
                <w:lang w:val="es-ES" w:eastAsia="es-ES"/>
              </w:rPr>
              <w:t xml:space="preserve">a) Después de la revisión del </w:t>
            </w:r>
            <w:r w:rsidRPr="005144F6">
              <w:rPr>
                <w:lang w:val="es-CO"/>
              </w:rPr>
              <w:t>Comité de Examen del Programa</w:t>
            </w:r>
            <w:r>
              <w:rPr>
                <w:sz w:val="18"/>
                <w:szCs w:val="18"/>
                <w:lang w:val="es-ES" w:eastAsia="es-ES"/>
              </w:rPr>
              <w:t>(PRC, por sus siglas en inglés): 92%</w:t>
            </w:r>
            <w:r>
              <w:rPr>
                <w:sz w:val="18"/>
                <w:szCs w:val="18"/>
                <w:lang w:val="es-ES" w:eastAsia="es-ES"/>
              </w:rPr>
              <w:br/>
            </w:r>
          </w:p>
          <w:p w:rsidR="00543AC4" w:rsidRPr="00BD26C5" w:rsidRDefault="00543AC4" w:rsidP="002F561D">
            <w:pPr>
              <w:rPr>
                <w:sz w:val="18"/>
                <w:lang w:val="es-AR"/>
              </w:rPr>
            </w:pPr>
            <w:r>
              <w:rPr>
                <w:sz w:val="18"/>
                <w:szCs w:val="18"/>
                <w:lang w:val="es-ES" w:eastAsia="es-ES"/>
              </w:rPr>
              <w:t>b) Antes de la revisión de PRC: 45%</w:t>
            </w:r>
          </w:p>
        </w:tc>
        <w:tc>
          <w:tcPr>
            <w:tcW w:w="1021" w:type="dxa"/>
            <w:gridSpan w:val="2"/>
          </w:tcPr>
          <w:p w:rsidR="00543AC4" w:rsidRPr="00BD26C5" w:rsidRDefault="00543AC4" w:rsidP="002F561D">
            <w:pPr>
              <w:rPr>
                <w:sz w:val="18"/>
                <w:lang w:val="es-AR"/>
              </w:rPr>
            </w:pPr>
            <w:r>
              <w:rPr>
                <w:sz w:val="18"/>
                <w:szCs w:val="18"/>
                <w:lang w:val="es-ES" w:eastAsia="es-ES"/>
              </w:rPr>
              <w:t>a) Después de la revisión de PRC: 92%</w:t>
            </w:r>
            <w:r>
              <w:rPr>
                <w:sz w:val="18"/>
                <w:szCs w:val="18"/>
                <w:lang w:val="es-ES" w:eastAsia="es-ES"/>
              </w:rPr>
              <w:br/>
            </w:r>
          </w:p>
          <w:p w:rsidR="00543AC4" w:rsidRPr="00BD26C5" w:rsidRDefault="00543AC4" w:rsidP="002F561D">
            <w:pPr>
              <w:rPr>
                <w:sz w:val="18"/>
                <w:lang w:val="es-AR"/>
              </w:rPr>
            </w:pPr>
            <w:r>
              <w:rPr>
                <w:sz w:val="18"/>
                <w:szCs w:val="18"/>
                <w:lang w:val="es-ES" w:eastAsia="es-ES"/>
              </w:rPr>
              <w:t>b) Antes de la revisión de PRC: 60%</w:t>
            </w:r>
          </w:p>
        </w:tc>
        <w:tc>
          <w:tcPr>
            <w:tcW w:w="886" w:type="dxa"/>
          </w:tcPr>
          <w:p w:rsidR="00543AC4" w:rsidRPr="00BD26C5" w:rsidRDefault="00543AC4" w:rsidP="002F561D">
            <w:pPr>
              <w:rPr>
                <w:sz w:val="18"/>
                <w:lang w:val="es-AR"/>
              </w:rPr>
            </w:pPr>
            <w:r>
              <w:rPr>
                <w:sz w:val="18"/>
                <w:szCs w:val="18"/>
                <w:lang w:val="es-ES" w:eastAsia="es-ES"/>
              </w:rPr>
              <w:t>a) Después de la revisión de PRC: 92%</w:t>
            </w:r>
            <w:r>
              <w:rPr>
                <w:sz w:val="18"/>
                <w:szCs w:val="18"/>
                <w:lang w:val="es-ES" w:eastAsia="es-ES"/>
              </w:rPr>
              <w:br/>
            </w:r>
          </w:p>
          <w:p w:rsidR="00543AC4" w:rsidRPr="00BD26C5" w:rsidRDefault="00543AC4" w:rsidP="002F561D">
            <w:pPr>
              <w:rPr>
                <w:sz w:val="18"/>
                <w:lang w:val="es-AR"/>
              </w:rPr>
            </w:pPr>
            <w:r>
              <w:rPr>
                <w:sz w:val="18"/>
                <w:szCs w:val="18"/>
                <w:lang w:val="es-ES" w:eastAsia="es-ES"/>
              </w:rPr>
              <w:t>b) Antes de la revisión de PRC: 75%</w:t>
            </w:r>
          </w:p>
        </w:tc>
        <w:tc>
          <w:tcPr>
            <w:tcW w:w="886" w:type="dxa"/>
          </w:tcPr>
          <w:p w:rsidR="00543AC4" w:rsidRPr="00BD26C5" w:rsidRDefault="00543AC4" w:rsidP="002F561D">
            <w:pPr>
              <w:rPr>
                <w:sz w:val="18"/>
                <w:lang w:val="es-AR"/>
              </w:rPr>
            </w:pPr>
            <w:r>
              <w:rPr>
                <w:sz w:val="18"/>
                <w:szCs w:val="18"/>
                <w:lang w:val="es-ES" w:eastAsia="es-ES"/>
              </w:rPr>
              <w:t>a) Después de la revisión de PRC: 92%</w:t>
            </w:r>
            <w:r>
              <w:rPr>
                <w:sz w:val="18"/>
                <w:szCs w:val="18"/>
                <w:lang w:val="es-ES" w:eastAsia="es-ES"/>
              </w:rPr>
              <w:br/>
            </w:r>
          </w:p>
          <w:p w:rsidR="00543AC4" w:rsidRPr="00BD26C5" w:rsidRDefault="00543AC4" w:rsidP="002F561D">
            <w:pPr>
              <w:rPr>
                <w:sz w:val="18"/>
                <w:lang w:val="es-AR"/>
              </w:rPr>
            </w:pPr>
            <w:r>
              <w:rPr>
                <w:sz w:val="18"/>
                <w:szCs w:val="18"/>
                <w:lang w:val="es-ES" w:eastAsia="es-ES"/>
              </w:rPr>
              <w:t>b) Antes de la revisión de PRC: 85%</w:t>
            </w:r>
          </w:p>
        </w:tc>
        <w:tc>
          <w:tcPr>
            <w:tcW w:w="886" w:type="dxa"/>
          </w:tcPr>
          <w:p w:rsidR="00543AC4" w:rsidRPr="00BD26C5" w:rsidRDefault="00543AC4" w:rsidP="002F561D">
            <w:pPr>
              <w:rPr>
                <w:sz w:val="18"/>
                <w:lang w:val="es-AR"/>
              </w:rPr>
            </w:pPr>
            <w:r>
              <w:rPr>
                <w:sz w:val="18"/>
                <w:szCs w:val="18"/>
                <w:lang w:val="es-ES" w:eastAsia="es-ES"/>
              </w:rPr>
              <w:t>a) Después de la revisión de PRC: 92%</w:t>
            </w:r>
            <w:r>
              <w:rPr>
                <w:sz w:val="18"/>
                <w:szCs w:val="18"/>
                <w:lang w:val="es-ES" w:eastAsia="es-ES"/>
              </w:rPr>
              <w:br/>
            </w:r>
          </w:p>
          <w:p w:rsidR="00543AC4" w:rsidRPr="00BD26C5" w:rsidRDefault="00543AC4" w:rsidP="002F561D">
            <w:pPr>
              <w:rPr>
                <w:sz w:val="18"/>
                <w:lang w:val="es-AR"/>
              </w:rPr>
            </w:pPr>
            <w:r>
              <w:rPr>
                <w:sz w:val="18"/>
                <w:szCs w:val="18"/>
                <w:lang w:val="es-ES" w:eastAsia="es-ES"/>
              </w:rPr>
              <w:t>b) Antes de la revisión de PRC: 90%</w:t>
            </w:r>
          </w:p>
        </w:tc>
        <w:tc>
          <w:tcPr>
            <w:tcW w:w="1710" w:type="dxa"/>
          </w:tcPr>
          <w:p w:rsidR="00543AC4" w:rsidRPr="00BD26C5" w:rsidRDefault="00543AC4" w:rsidP="002F561D">
            <w:pPr>
              <w:rPr>
                <w:lang w:val="es-AR"/>
              </w:rPr>
            </w:pPr>
            <w:r>
              <w:rPr>
                <w:lang w:val="es-ES" w:eastAsia="es-ES"/>
              </w:rPr>
              <w:t>Datos del Comité de Examen del Programa</w:t>
            </w:r>
          </w:p>
        </w:tc>
      </w:tr>
      <w:tr w:rsidR="00543AC4" w:rsidTr="002F561D">
        <w:trPr>
          <w:trHeight w:val="458"/>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1.2: Porcentaje de programas en los países clasificados como de “buen” desempeño</w:t>
            </w:r>
          </w:p>
        </w:tc>
        <w:tc>
          <w:tcPr>
            <w:tcW w:w="1170" w:type="dxa"/>
            <w:gridSpan w:val="2"/>
          </w:tcPr>
          <w:p w:rsidR="00543AC4" w:rsidRPr="001A26EA" w:rsidRDefault="00543AC4" w:rsidP="002F561D">
            <w:r>
              <w:rPr>
                <w:lang w:val="es-ES" w:eastAsia="es-ES"/>
              </w:rPr>
              <w:t>No aplica</w:t>
            </w:r>
          </w:p>
        </w:tc>
        <w:tc>
          <w:tcPr>
            <w:tcW w:w="3679" w:type="dxa"/>
            <w:gridSpan w:val="5"/>
          </w:tcPr>
          <w:p w:rsidR="00543AC4" w:rsidRPr="00BD26C5" w:rsidRDefault="00543AC4" w:rsidP="002F561D">
            <w:pPr>
              <w:rPr>
                <w:lang w:val="es-AR"/>
              </w:rPr>
            </w:pPr>
            <w:r>
              <w:rPr>
                <w:lang w:val="es-ES" w:eastAsia="es-ES"/>
              </w:rPr>
              <w:t>Se determinará una vez que se haya establecido el sistema de clasificación del desempeño</w:t>
            </w:r>
          </w:p>
        </w:tc>
        <w:tc>
          <w:tcPr>
            <w:tcW w:w="1710" w:type="dxa"/>
          </w:tcPr>
          <w:p w:rsidR="00543AC4" w:rsidRPr="001A26EA" w:rsidRDefault="00543AC4" w:rsidP="002F561D">
            <w:r>
              <w:rPr>
                <w:lang w:val="es-ES" w:eastAsia="es-ES"/>
              </w:rPr>
              <w:t>Se determinará</w:t>
            </w:r>
          </w:p>
        </w:tc>
      </w:tr>
      <w:tr w:rsidR="00543AC4" w:rsidRPr="00600170" w:rsidTr="002F561D">
        <w:trPr>
          <w:trHeight w:val="611"/>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1.3: Porcentaje de las oficinas en los países que utilizan herramientas y principios comunes de gestión basada en los resultados</w:t>
            </w:r>
            <w:r>
              <w:rPr>
                <w:i/>
                <w:iCs/>
                <w:lang w:val="es-ES" w:eastAsia="es-ES"/>
              </w:rPr>
              <w:t xml:space="preserve"> (QCPR compartida)</w:t>
            </w:r>
          </w:p>
        </w:tc>
        <w:tc>
          <w:tcPr>
            <w:tcW w:w="1170" w:type="dxa"/>
            <w:gridSpan w:val="2"/>
          </w:tcPr>
          <w:p w:rsidR="00543AC4" w:rsidRPr="001A26EA" w:rsidRDefault="00543AC4" w:rsidP="002F561D">
            <w:r>
              <w:rPr>
                <w:lang w:val="es-ES" w:eastAsia="es-ES"/>
              </w:rPr>
              <w:t>No aplica</w:t>
            </w:r>
          </w:p>
        </w:tc>
        <w:tc>
          <w:tcPr>
            <w:tcW w:w="3679" w:type="dxa"/>
            <w:gridSpan w:val="5"/>
          </w:tcPr>
          <w:p w:rsidR="00543AC4" w:rsidRPr="00BD26C5" w:rsidRDefault="00543AC4" w:rsidP="002F561D">
            <w:pPr>
              <w:rPr>
                <w:lang w:val="es-AR"/>
              </w:rPr>
            </w:pPr>
            <w:r>
              <w:rPr>
                <w:lang w:val="es-ES" w:eastAsia="es-ES"/>
              </w:rPr>
              <w:t>Se determinará cuando se llegue a un acuerdo sobre la definición común en todos los fondos y programas relevantes</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2F561D">
        <w:trPr>
          <w:trHeight w:val="503"/>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D4B43">
            <w:pPr>
              <w:rPr>
                <w:lang w:val="es-AR"/>
              </w:rPr>
            </w:pPr>
            <w:r>
              <w:rPr>
                <w:lang w:val="es-ES" w:eastAsia="es-ES"/>
              </w:rPr>
              <w:t>1.4: Porcentaje de las oficinas en los países que utilizan enfoques comunes de medición de la capacidad del Grupo de las Naciones Unidas para el Desarrollo (GNUD) (cuando se encuentra completamente desarrollado)</w:t>
            </w:r>
            <w:r>
              <w:rPr>
                <w:i/>
                <w:iCs/>
                <w:lang w:val="es-ES" w:eastAsia="es-ES"/>
              </w:rPr>
              <w:t xml:space="preserve"> (QCPR compartida)</w:t>
            </w:r>
          </w:p>
        </w:tc>
        <w:tc>
          <w:tcPr>
            <w:tcW w:w="1170" w:type="dxa"/>
            <w:gridSpan w:val="2"/>
          </w:tcPr>
          <w:p w:rsidR="00543AC4" w:rsidRPr="001A26EA" w:rsidRDefault="00543AC4" w:rsidP="002F561D">
            <w:r>
              <w:rPr>
                <w:lang w:val="es-ES" w:eastAsia="es-ES"/>
              </w:rPr>
              <w:t>No aplica</w:t>
            </w:r>
          </w:p>
        </w:tc>
        <w:tc>
          <w:tcPr>
            <w:tcW w:w="3679" w:type="dxa"/>
            <w:gridSpan w:val="5"/>
          </w:tcPr>
          <w:p w:rsidR="00543AC4" w:rsidRPr="00BD26C5" w:rsidRDefault="00543AC4" w:rsidP="002F561D">
            <w:pPr>
              <w:rPr>
                <w:lang w:val="es-AR"/>
              </w:rPr>
            </w:pPr>
            <w:r>
              <w:rPr>
                <w:lang w:val="es-ES" w:eastAsia="es-ES"/>
              </w:rPr>
              <w:t>Se determinará cuando se llegue a un acuerdo sobre un enfoque común en todos los fondos y programas</w:t>
            </w:r>
          </w:p>
        </w:tc>
        <w:tc>
          <w:tcPr>
            <w:tcW w:w="1710" w:type="dxa"/>
          </w:tcPr>
          <w:p w:rsidR="00543AC4" w:rsidRPr="00BD26C5" w:rsidRDefault="00543AC4" w:rsidP="002F561D">
            <w:pPr>
              <w:rPr>
                <w:lang w:val="es-AR"/>
              </w:rPr>
            </w:pPr>
            <w:r>
              <w:rPr>
                <w:lang w:val="es-ES" w:eastAsia="es-ES"/>
              </w:rPr>
              <w:t>Informes anuales de las oficinas de  país</w:t>
            </w:r>
          </w:p>
        </w:tc>
      </w:tr>
      <w:tr w:rsidR="00543AC4" w:rsidRPr="00600170" w:rsidTr="002F561D">
        <w:trPr>
          <w:trHeight w:val="152"/>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1.5: Porcentaje de los programas en los países que supervisan debidamente al menos un 90% de los indicadores de los programas en el país</w:t>
            </w:r>
          </w:p>
        </w:tc>
        <w:tc>
          <w:tcPr>
            <w:tcW w:w="1170" w:type="dxa"/>
            <w:gridSpan w:val="2"/>
          </w:tcPr>
          <w:p w:rsidR="00543AC4" w:rsidRPr="005C0549" w:rsidRDefault="00543AC4" w:rsidP="002F561D">
            <w:r>
              <w:rPr>
                <w:lang w:val="es-ES" w:eastAsia="es-ES"/>
              </w:rPr>
              <w:t>40%</w:t>
            </w:r>
          </w:p>
        </w:tc>
        <w:tc>
          <w:tcPr>
            <w:tcW w:w="1021" w:type="dxa"/>
            <w:gridSpan w:val="2"/>
          </w:tcPr>
          <w:p w:rsidR="00543AC4" w:rsidRPr="005C0549" w:rsidRDefault="00543AC4" w:rsidP="002F561D">
            <w:pPr>
              <w:rPr>
                <w:iCs/>
              </w:rPr>
            </w:pPr>
            <w:r>
              <w:rPr>
                <w:lang w:val="es-ES" w:eastAsia="es-ES"/>
              </w:rPr>
              <w:t>45%</w:t>
            </w:r>
          </w:p>
        </w:tc>
        <w:tc>
          <w:tcPr>
            <w:tcW w:w="886" w:type="dxa"/>
          </w:tcPr>
          <w:p w:rsidR="00543AC4" w:rsidRPr="005C0549" w:rsidRDefault="00543AC4" w:rsidP="002F561D">
            <w:pPr>
              <w:rPr>
                <w:iCs/>
              </w:rPr>
            </w:pPr>
            <w:r>
              <w:rPr>
                <w:lang w:val="es-ES" w:eastAsia="es-ES"/>
              </w:rPr>
              <w:t>50%</w:t>
            </w:r>
          </w:p>
        </w:tc>
        <w:tc>
          <w:tcPr>
            <w:tcW w:w="886" w:type="dxa"/>
          </w:tcPr>
          <w:p w:rsidR="00543AC4" w:rsidRPr="005C0549" w:rsidRDefault="00543AC4" w:rsidP="002F561D">
            <w:pPr>
              <w:rPr>
                <w:iCs/>
              </w:rPr>
            </w:pPr>
            <w:r>
              <w:rPr>
                <w:lang w:val="es-ES" w:eastAsia="es-ES"/>
              </w:rPr>
              <w:t>55%</w:t>
            </w:r>
          </w:p>
        </w:tc>
        <w:tc>
          <w:tcPr>
            <w:tcW w:w="886" w:type="dxa"/>
          </w:tcPr>
          <w:p w:rsidR="00543AC4" w:rsidRPr="005C0549" w:rsidRDefault="00543AC4" w:rsidP="002F561D">
            <w:pPr>
              <w:rPr>
                <w:iCs/>
              </w:rPr>
            </w:pPr>
            <w:r>
              <w:rPr>
                <w:iCs/>
              </w:rPr>
              <w:t>65</w:t>
            </w:r>
            <w:r w:rsidRPr="005C0549">
              <w:rPr>
                <w:iCs/>
              </w:rPr>
              <w:t>%</w:t>
            </w:r>
          </w:p>
        </w:tc>
        <w:tc>
          <w:tcPr>
            <w:tcW w:w="1710" w:type="dxa"/>
          </w:tcPr>
          <w:p w:rsidR="00543AC4" w:rsidRPr="00BD26C5" w:rsidRDefault="00543AC4" w:rsidP="008D1A6D">
            <w:pPr>
              <w:rPr>
                <w:lang w:val="es-AR"/>
              </w:rPr>
            </w:pPr>
            <w:r>
              <w:rPr>
                <w:lang w:val="es-ES" w:eastAsia="es-ES"/>
              </w:rPr>
              <w:t xml:space="preserve"> Informes anuales de las oficinas de  país</w:t>
            </w:r>
          </w:p>
        </w:tc>
      </w:tr>
      <w:tr w:rsidR="00543AC4" w:rsidRPr="00600170" w:rsidTr="002F561D">
        <w:trPr>
          <w:trHeight w:val="566"/>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1.6: Porcentaje de las recomendaciones sobre la evaluación de programas aceptadas para las que se han completado las medidas correspondientes para el año</w:t>
            </w:r>
            <w:r>
              <w:rPr>
                <w:i/>
                <w:iCs/>
                <w:lang w:val="es-ES" w:eastAsia="es-ES"/>
              </w:rPr>
              <w:t xml:space="preserve"> (QCPR)</w:t>
            </w:r>
          </w:p>
        </w:tc>
        <w:tc>
          <w:tcPr>
            <w:tcW w:w="1170" w:type="dxa"/>
            <w:gridSpan w:val="2"/>
          </w:tcPr>
          <w:p w:rsidR="00543AC4" w:rsidRPr="005C0549" w:rsidRDefault="00543AC4" w:rsidP="002F561D">
            <w:r>
              <w:rPr>
                <w:lang w:val="es-ES" w:eastAsia="es-ES"/>
              </w:rPr>
              <w:t>90%</w:t>
            </w:r>
          </w:p>
        </w:tc>
        <w:tc>
          <w:tcPr>
            <w:tcW w:w="1021" w:type="dxa"/>
            <w:gridSpan w:val="2"/>
          </w:tcPr>
          <w:p w:rsidR="00543AC4" w:rsidRPr="005C0549" w:rsidRDefault="00543AC4" w:rsidP="002F561D">
            <w:pPr>
              <w:rPr>
                <w:iCs/>
              </w:rPr>
            </w:pPr>
            <w:r>
              <w:rPr>
                <w:lang w:val="es-ES" w:eastAsia="es-ES"/>
              </w:rPr>
              <w:t>93%</w:t>
            </w:r>
          </w:p>
        </w:tc>
        <w:tc>
          <w:tcPr>
            <w:tcW w:w="886" w:type="dxa"/>
          </w:tcPr>
          <w:p w:rsidR="00543AC4" w:rsidRPr="005C0549" w:rsidRDefault="00543AC4" w:rsidP="002F561D">
            <w:pPr>
              <w:rPr>
                <w:iCs/>
              </w:rPr>
            </w:pPr>
            <w:r>
              <w:rPr>
                <w:lang w:val="es-ES" w:eastAsia="es-ES"/>
              </w:rPr>
              <w:t>93%</w:t>
            </w:r>
          </w:p>
        </w:tc>
        <w:tc>
          <w:tcPr>
            <w:tcW w:w="886" w:type="dxa"/>
          </w:tcPr>
          <w:p w:rsidR="00543AC4" w:rsidRPr="005C0549" w:rsidRDefault="00543AC4" w:rsidP="002F561D">
            <w:pPr>
              <w:rPr>
                <w:iCs/>
              </w:rPr>
            </w:pPr>
            <w:r>
              <w:rPr>
                <w:lang w:val="es-ES" w:eastAsia="es-ES"/>
              </w:rPr>
              <w:t>97%</w:t>
            </w:r>
          </w:p>
        </w:tc>
        <w:tc>
          <w:tcPr>
            <w:tcW w:w="886" w:type="dxa"/>
          </w:tcPr>
          <w:p w:rsidR="00543AC4" w:rsidRPr="005C0549" w:rsidRDefault="00543AC4" w:rsidP="002F561D">
            <w:pPr>
              <w:rPr>
                <w:iCs/>
              </w:rPr>
            </w:pPr>
            <w:r>
              <w:rPr>
                <w:lang w:val="es-ES" w:eastAsia="es-ES"/>
              </w:rPr>
              <w:t>97%</w:t>
            </w:r>
          </w:p>
        </w:tc>
        <w:tc>
          <w:tcPr>
            <w:tcW w:w="1710" w:type="dxa"/>
          </w:tcPr>
          <w:p w:rsidR="00543AC4" w:rsidRPr="00BD26C5" w:rsidRDefault="00543AC4" w:rsidP="002F561D">
            <w:pPr>
              <w:rPr>
                <w:lang w:val="es-AR"/>
              </w:rPr>
            </w:pPr>
            <w:r>
              <w:rPr>
                <w:lang w:val="es-ES" w:eastAsia="es-ES"/>
              </w:rPr>
              <w:t>Base de datos de las respuestas de la gestión</w:t>
            </w:r>
          </w:p>
        </w:tc>
      </w:tr>
      <w:tr w:rsidR="00543AC4" w:rsidTr="002F561D">
        <w:trPr>
          <w:trHeight w:val="615"/>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1.7: Porcentaje de evaluaciones a nivel del programa completadas según lo planificado</w:t>
            </w:r>
            <w:r>
              <w:rPr>
                <w:i/>
                <w:iCs/>
                <w:lang w:val="es-ES" w:eastAsia="es-ES"/>
              </w:rPr>
              <w:t xml:space="preserve"> (QCPR)</w:t>
            </w:r>
          </w:p>
        </w:tc>
        <w:tc>
          <w:tcPr>
            <w:tcW w:w="1170" w:type="dxa"/>
            <w:gridSpan w:val="2"/>
          </w:tcPr>
          <w:p w:rsidR="00543AC4" w:rsidRPr="001A26EA" w:rsidRDefault="00543AC4" w:rsidP="002F561D">
            <w:r>
              <w:rPr>
                <w:lang w:val="es-ES" w:eastAsia="es-ES"/>
              </w:rPr>
              <w:t>No aplica</w:t>
            </w:r>
          </w:p>
        </w:tc>
        <w:tc>
          <w:tcPr>
            <w:tcW w:w="1021" w:type="dxa"/>
            <w:gridSpan w:val="2"/>
          </w:tcPr>
          <w:p w:rsidR="00543AC4" w:rsidRPr="001A26EA" w:rsidRDefault="00543AC4" w:rsidP="002F561D">
            <w:r>
              <w:rPr>
                <w:lang w:val="es-ES" w:eastAsia="es-ES"/>
              </w:rPr>
              <w:t>100%</w:t>
            </w:r>
          </w:p>
        </w:tc>
        <w:tc>
          <w:tcPr>
            <w:tcW w:w="886" w:type="dxa"/>
          </w:tcPr>
          <w:p w:rsidR="00543AC4" w:rsidRPr="001A26EA" w:rsidRDefault="00543AC4" w:rsidP="002F561D">
            <w:r>
              <w:rPr>
                <w:lang w:val="es-ES" w:eastAsia="es-ES"/>
              </w:rPr>
              <w:t>100%</w:t>
            </w:r>
          </w:p>
        </w:tc>
        <w:tc>
          <w:tcPr>
            <w:tcW w:w="886" w:type="dxa"/>
          </w:tcPr>
          <w:p w:rsidR="00543AC4" w:rsidRPr="001A26EA" w:rsidRDefault="00543AC4" w:rsidP="002F561D">
            <w:r>
              <w:rPr>
                <w:lang w:val="es-ES" w:eastAsia="es-ES"/>
              </w:rPr>
              <w:t>100%</w:t>
            </w:r>
          </w:p>
        </w:tc>
        <w:tc>
          <w:tcPr>
            <w:tcW w:w="886" w:type="dxa"/>
          </w:tcPr>
          <w:p w:rsidR="00543AC4" w:rsidRPr="001A26EA" w:rsidRDefault="00543AC4" w:rsidP="002F561D">
            <w:r>
              <w:rPr>
                <w:lang w:val="es-ES" w:eastAsia="es-ES"/>
              </w:rPr>
              <w:t>100%</w:t>
            </w:r>
          </w:p>
        </w:tc>
        <w:tc>
          <w:tcPr>
            <w:tcW w:w="1710" w:type="dxa"/>
          </w:tcPr>
          <w:p w:rsidR="00543AC4" w:rsidRPr="001A26EA" w:rsidRDefault="00543AC4" w:rsidP="002F561D">
            <w:r>
              <w:rPr>
                <w:lang w:val="es-ES" w:eastAsia="es-ES"/>
              </w:rPr>
              <w:t>Oficina de Evaluación</w:t>
            </w:r>
          </w:p>
        </w:tc>
      </w:tr>
      <w:tr w:rsidR="00543AC4" w:rsidRPr="00600170" w:rsidTr="002F561D">
        <w:trPr>
          <w:trHeight w:val="494"/>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1.8: Porcentaje de las oficinas en los países de alto riesgo que tienen planes actualizados de preparación para hacer frente a crisis humanitarias</w:t>
            </w:r>
          </w:p>
        </w:tc>
        <w:tc>
          <w:tcPr>
            <w:tcW w:w="1170" w:type="dxa"/>
            <w:gridSpan w:val="2"/>
          </w:tcPr>
          <w:p w:rsidR="00543AC4" w:rsidRPr="005C0549" w:rsidRDefault="00543AC4" w:rsidP="002F561D">
            <w:pPr>
              <w:rPr>
                <w:iCs/>
              </w:rPr>
            </w:pPr>
            <w:r>
              <w:rPr>
                <w:lang w:val="es-ES" w:eastAsia="es-ES"/>
              </w:rPr>
              <w:t>20%</w:t>
            </w:r>
          </w:p>
        </w:tc>
        <w:tc>
          <w:tcPr>
            <w:tcW w:w="1021" w:type="dxa"/>
            <w:gridSpan w:val="2"/>
          </w:tcPr>
          <w:p w:rsidR="00543AC4" w:rsidRPr="005C0549" w:rsidRDefault="00543AC4" w:rsidP="002F561D">
            <w:pPr>
              <w:rPr>
                <w:iCs/>
              </w:rPr>
            </w:pPr>
            <w:r>
              <w:rPr>
                <w:lang w:val="es-ES" w:eastAsia="es-ES"/>
              </w:rPr>
              <w:t>28%</w:t>
            </w:r>
          </w:p>
        </w:tc>
        <w:tc>
          <w:tcPr>
            <w:tcW w:w="886" w:type="dxa"/>
          </w:tcPr>
          <w:p w:rsidR="00543AC4" w:rsidRPr="005C0549" w:rsidRDefault="00543AC4" w:rsidP="002F561D">
            <w:pPr>
              <w:rPr>
                <w:iCs/>
              </w:rPr>
            </w:pPr>
            <w:r>
              <w:rPr>
                <w:lang w:val="es-ES" w:eastAsia="es-ES"/>
              </w:rPr>
              <w:t>40%</w:t>
            </w:r>
          </w:p>
        </w:tc>
        <w:tc>
          <w:tcPr>
            <w:tcW w:w="886" w:type="dxa"/>
          </w:tcPr>
          <w:p w:rsidR="00543AC4" w:rsidRPr="005C0549" w:rsidRDefault="00543AC4" w:rsidP="002F561D">
            <w:pPr>
              <w:rPr>
                <w:iCs/>
              </w:rPr>
            </w:pPr>
            <w:r>
              <w:rPr>
                <w:lang w:val="es-ES" w:eastAsia="es-ES"/>
              </w:rPr>
              <w:t>56%</w:t>
            </w:r>
          </w:p>
        </w:tc>
        <w:tc>
          <w:tcPr>
            <w:tcW w:w="886" w:type="dxa"/>
          </w:tcPr>
          <w:p w:rsidR="00543AC4" w:rsidRPr="005C0549" w:rsidRDefault="00543AC4" w:rsidP="002F561D">
            <w:pPr>
              <w:rPr>
                <w:iCs/>
              </w:rPr>
            </w:pPr>
            <w:r>
              <w:rPr>
                <w:lang w:val="es-ES" w:eastAsia="es-ES"/>
              </w:rPr>
              <w:t>64%</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2F561D">
        <w:trPr>
          <w:trHeight w:val="332"/>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1.9: Porcentaje de las oficinas en los países que reciben apoyo efectivo por parte de la oficinas regionales</w:t>
            </w:r>
          </w:p>
        </w:tc>
        <w:tc>
          <w:tcPr>
            <w:tcW w:w="1170" w:type="dxa"/>
            <w:gridSpan w:val="2"/>
          </w:tcPr>
          <w:p w:rsidR="00543AC4" w:rsidRPr="001A26EA" w:rsidRDefault="00543AC4" w:rsidP="002F561D">
            <w:r>
              <w:rPr>
                <w:lang w:val="es-ES" w:eastAsia="es-ES"/>
              </w:rPr>
              <w:t>68%</w:t>
            </w:r>
          </w:p>
        </w:tc>
        <w:tc>
          <w:tcPr>
            <w:tcW w:w="1021" w:type="dxa"/>
            <w:gridSpan w:val="2"/>
          </w:tcPr>
          <w:p w:rsidR="00543AC4" w:rsidRPr="001A26EA" w:rsidRDefault="00543AC4" w:rsidP="002F561D">
            <w:r>
              <w:rPr>
                <w:lang w:val="es-ES" w:eastAsia="es-ES"/>
              </w:rPr>
              <w:t>77%</w:t>
            </w:r>
          </w:p>
        </w:tc>
        <w:tc>
          <w:tcPr>
            <w:tcW w:w="886" w:type="dxa"/>
          </w:tcPr>
          <w:p w:rsidR="00543AC4" w:rsidRPr="001A26EA" w:rsidRDefault="00543AC4" w:rsidP="002F561D">
            <w:r>
              <w:rPr>
                <w:lang w:val="es-ES" w:eastAsia="es-ES"/>
              </w:rPr>
              <w:t>81%</w:t>
            </w:r>
          </w:p>
        </w:tc>
        <w:tc>
          <w:tcPr>
            <w:tcW w:w="886" w:type="dxa"/>
          </w:tcPr>
          <w:p w:rsidR="00543AC4" w:rsidRPr="001A26EA" w:rsidRDefault="00543AC4" w:rsidP="002F561D">
            <w:r>
              <w:rPr>
                <w:lang w:val="es-ES" w:eastAsia="es-ES"/>
              </w:rPr>
              <w:t>86%</w:t>
            </w:r>
          </w:p>
        </w:tc>
        <w:tc>
          <w:tcPr>
            <w:tcW w:w="886" w:type="dxa"/>
          </w:tcPr>
          <w:p w:rsidR="00543AC4" w:rsidRPr="001A26EA" w:rsidRDefault="00543AC4" w:rsidP="002F561D">
            <w:r>
              <w:rPr>
                <w:lang w:val="es-ES" w:eastAsia="es-ES"/>
              </w:rPr>
              <w:t>90%</w:t>
            </w:r>
          </w:p>
        </w:tc>
        <w:tc>
          <w:tcPr>
            <w:tcW w:w="1710" w:type="dxa"/>
          </w:tcPr>
          <w:p w:rsidR="00543AC4" w:rsidRPr="00BD26C5" w:rsidRDefault="00543AC4" w:rsidP="008D1A6D">
            <w:pPr>
              <w:rPr>
                <w:lang w:val="es-AR"/>
              </w:rPr>
            </w:pPr>
            <w:r>
              <w:rPr>
                <w:lang w:val="es-ES" w:eastAsia="es-ES"/>
              </w:rPr>
              <w:t>Informes anuales de las oficinas de  país</w:t>
            </w:r>
          </w:p>
        </w:tc>
      </w:tr>
      <w:tr w:rsidR="00543AC4" w:rsidRPr="00600170" w:rsidTr="002F561D">
        <w:trPr>
          <w:trHeight w:val="584"/>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1.10: Porcentaje de las dependencias de campo del UNFPA que utilizan cooperación sur-sur o triangular para lograr resultados</w:t>
            </w:r>
            <w:r>
              <w:rPr>
                <w:i/>
                <w:iCs/>
                <w:lang w:val="es-ES" w:eastAsia="es-ES"/>
              </w:rPr>
              <w:t xml:space="preserve"> (QCPR)</w:t>
            </w:r>
          </w:p>
        </w:tc>
        <w:tc>
          <w:tcPr>
            <w:tcW w:w="1170" w:type="dxa"/>
            <w:gridSpan w:val="2"/>
          </w:tcPr>
          <w:p w:rsidR="00543AC4" w:rsidRPr="005C0549" w:rsidRDefault="00543AC4" w:rsidP="002F561D">
            <w:pPr>
              <w:rPr>
                <w:iCs/>
              </w:rPr>
            </w:pPr>
            <w:r>
              <w:rPr>
                <w:lang w:val="es-ES" w:eastAsia="es-ES"/>
              </w:rPr>
              <w:t>42%</w:t>
            </w:r>
          </w:p>
        </w:tc>
        <w:tc>
          <w:tcPr>
            <w:tcW w:w="1021" w:type="dxa"/>
            <w:gridSpan w:val="2"/>
          </w:tcPr>
          <w:p w:rsidR="00543AC4" w:rsidRPr="005C0549" w:rsidRDefault="00543AC4" w:rsidP="002F561D">
            <w:pPr>
              <w:rPr>
                <w:iCs/>
              </w:rPr>
            </w:pPr>
            <w:r>
              <w:rPr>
                <w:lang w:val="es-ES" w:eastAsia="es-ES"/>
              </w:rPr>
              <w:t>52%</w:t>
            </w:r>
          </w:p>
        </w:tc>
        <w:tc>
          <w:tcPr>
            <w:tcW w:w="886" w:type="dxa"/>
          </w:tcPr>
          <w:p w:rsidR="00543AC4" w:rsidRPr="005C0549" w:rsidRDefault="00543AC4" w:rsidP="002F561D">
            <w:pPr>
              <w:rPr>
                <w:iCs/>
              </w:rPr>
            </w:pPr>
            <w:r>
              <w:rPr>
                <w:lang w:val="es-ES" w:eastAsia="es-ES"/>
              </w:rPr>
              <w:t>57%</w:t>
            </w:r>
          </w:p>
        </w:tc>
        <w:tc>
          <w:tcPr>
            <w:tcW w:w="886" w:type="dxa"/>
          </w:tcPr>
          <w:p w:rsidR="00543AC4" w:rsidRPr="005C0549" w:rsidRDefault="00543AC4" w:rsidP="002F561D">
            <w:pPr>
              <w:rPr>
                <w:iCs/>
              </w:rPr>
            </w:pPr>
            <w:r>
              <w:rPr>
                <w:lang w:val="es-ES" w:eastAsia="es-ES"/>
              </w:rPr>
              <w:t>62%</w:t>
            </w:r>
          </w:p>
        </w:tc>
        <w:tc>
          <w:tcPr>
            <w:tcW w:w="886" w:type="dxa"/>
          </w:tcPr>
          <w:p w:rsidR="00543AC4" w:rsidRPr="005C0549" w:rsidRDefault="00543AC4" w:rsidP="002F561D">
            <w:pPr>
              <w:rPr>
                <w:iCs/>
              </w:rPr>
            </w:pPr>
            <w:r>
              <w:rPr>
                <w:lang w:val="es-ES" w:eastAsia="es-ES"/>
              </w:rPr>
              <w:t>62%</w:t>
            </w:r>
          </w:p>
        </w:tc>
        <w:tc>
          <w:tcPr>
            <w:tcW w:w="1710" w:type="dxa"/>
          </w:tcPr>
          <w:p w:rsidR="00543AC4" w:rsidRPr="00BD26C5" w:rsidRDefault="00543AC4" w:rsidP="002F561D">
            <w:pPr>
              <w:rPr>
                <w:lang w:val="es-AR"/>
              </w:rPr>
            </w:pPr>
            <w:r>
              <w:rPr>
                <w:lang w:val="es-ES" w:eastAsia="es-ES"/>
              </w:rPr>
              <w:t>Informes anuales de las oficinas de  país y regionales</w:t>
            </w:r>
          </w:p>
        </w:tc>
      </w:tr>
      <w:tr w:rsidR="00543AC4" w:rsidTr="002F561D">
        <w:trPr>
          <w:trHeight w:val="863"/>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1.11: Número de indicadores de desempeño del</w:t>
            </w:r>
            <w:r w:rsidRPr="005144F6">
              <w:rPr>
                <w:lang w:val="es-CO"/>
              </w:rPr>
              <w:t xml:space="preserve"> Plan de Acción para Todo el Sistema de las Naciones Unidas sobre la Igualdad de Género y el Empoderamiento de las Mujeres</w:t>
            </w:r>
            <w:r>
              <w:rPr>
                <w:lang w:val="es-ES" w:eastAsia="es-ES"/>
              </w:rPr>
              <w:t xml:space="preserve"> (UNSWAP, por sus siglas en inglés) para los que el UNFPA cumple y supera los requisitos</w:t>
            </w:r>
            <w:r>
              <w:rPr>
                <w:i/>
                <w:iCs/>
                <w:lang w:val="es-ES" w:eastAsia="es-ES"/>
              </w:rPr>
              <w:t xml:space="preserve"> (QCPR)</w:t>
            </w:r>
          </w:p>
        </w:tc>
        <w:tc>
          <w:tcPr>
            <w:tcW w:w="1170" w:type="dxa"/>
            <w:gridSpan w:val="2"/>
          </w:tcPr>
          <w:p w:rsidR="00543AC4" w:rsidRPr="00A855D0" w:rsidRDefault="00543AC4" w:rsidP="002F561D">
            <w:pPr>
              <w:rPr>
                <w:sz w:val="18"/>
              </w:rPr>
            </w:pPr>
            <w:r>
              <w:rPr>
                <w:sz w:val="18"/>
                <w:szCs w:val="18"/>
                <w:lang w:val="es-ES" w:eastAsia="es-ES"/>
              </w:rPr>
              <w:t>Cumple: 9</w:t>
            </w:r>
            <w:r>
              <w:rPr>
                <w:sz w:val="18"/>
                <w:szCs w:val="18"/>
                <w:lang w:val="es-ES" w:eastAsia="es-ES"/>
              </w:rPr>
              <w:br/>
              <w:t>Excede: 2</w:t>
            </w:r>
          </w:p>
        </w:tc>
        <w:tc>
          <w:tcPr>
            <w:tcW w:w="1021" w:type="dxa"/>
            <w:gridSpan w:val="2"/>
          </w:tcPr>
          <w:p w:rsidR="00543AC4" w:rsidRPr="00A855D0" w:rsidRDefault="00543AC4" w:rsidP="002F561D">
            <w:pPr>
              <w:rPr>
                <w:sz w:val="18"/>
              </w:rPr>
            </w:pPr>
            <w:r>
              <w:rPr>
                <w:sz w:val="18"/>
                <w:szCs w:val="18"/>
                <w:lang w:val="es-ES" w:eastAsia="es-ES"/>
              </w:rPr>
              <w:t>Cumple: 10</w:t>
            </w:r>
            <w:r>
              <w:rPr>
                <w:sz w:val="18"/>
                <w:szCs w:val="18"/>
                <w:lang w:val="es-ES" w:eastAsia="es-ES"/>
              </w:rPr>
              <w:br/>
              <w:t>Excede: 3</w:t>
            </w:r>
          </w:p>
        </w:tc>
        <w:tc>
          <w:tcPr>
            <w:tcW w:w="886" w:type="dxa"/>
          </w:tcPr>
          <w:p w:rsidR="00543AC4" w:rsidRPr="00A855D0" w:rsidRDefault="00543AC4" w:rsidP="002F561D">
            <w:pPr>
              <w:rPr>
                <w:sz w:val="18"/>
              </w:rPr>
            </w:pPr>
            <w:r>
              <w:rPr>
                <w:sz w:val="18"/>
                <w:szCs w:val="18"/>
                <w:lang w:val="es-ES" w:eastAsia="es-ES"/>
              </w:rPr>
              <w:t>Cumple: 8</w:t>
            </w:r>
            <w:r>
              <w:rPr>
                <w:sz w:val="18"/>
                <w:szCs w:val="18"/>
                <w:lang w:val="es-ES" w:eastAsia="es-ES"/>
              </w:rPr>
              <w:br/>
              <w:t>Excede: 5</w:t>
            </w:r>
          </w:p>
        </w:tc>
        <w:tc>
          <w:tcPr>
            <w:tcW w:w="886" w:type="dxa"/>
          </w:tcPr>
          <w:p w:rsidR="00543AC4" w:rsidRPr="00A855D0" w:rsidRDefault="00543AC4" w:rsidP="002F561D">
            <w:pPr>
              <w:rPr>
                <w:sz w:val="18"/>
              </w:rPr>
            </w:pPr>
            <w:r>
              <w:rPr>
                <w:sz w:val="18"/>
                <w:szCs w:val="18"/>
                <w:lang w:val="es-ES" w:eastAsia="es-ES"/>
              </w:rPr>
              <w:t>Cumple: 8</w:t>
            </w:r>
            <w:r>
              <w:rPr>
                <w:sz w:val="18"/>
                <w:szCs w:val="18"/>
                <w:lang w:val="es-ES" w:eastAsia="es-ES"/>
              </w:rPr>
              <w:br/>
              <w:t>Excede: 6</w:t>
            </w:r>
          </w:p>
        </w:tc>
        <w:tc>
          <w:tcPr>
            <w:tcW w:w="886" w:type="dxa"/>
          </w:tcPr>
          <w:p w:rsidR="00543AC4" w:rsidRPr="00A855D0" w:rsidRDefault="00543AC4" w:rsidP="002F561D">
            <w:pPr>
              <w:rPr>
                <w:sz w:val="18"/>
              </w:rPr>
            </w:pPr>
            <w:r>
              <w:rPr>
                <w:sz w:val="18"/>
                <w:szCs w:val="18"/>
                <w:lang w:val="es-ES" w:eastAsia="es-ES"/>
              </w:rPr>
              <w:t>Cumple: 8</w:t>
            </w:r>
            <w:r>
              <w:rPr>
                <w:sz w:val="18"/>
                <w:szCs w:val="18"/>
                <w:lang w:val="es-ES" w:eastAsia="es-ES"/>
              </w:rPr>
              <w:br/>
              <w:t>Excede: 7</w:t>
            </w:r>
          </w:p>
        </w:tc>
        <w:tc>
          <w:tcPr>
            <w:tcW w:w="1710" w:type="dxa"/>
          </w:tcPr>
          <w:p w:rsidR="00543AC4" w:rsidRPr="001A26EA" w:rsidRDefault="00543AC4" w:rsidP="002D4B43">
            <w:r>
              <w:rPr>
                <w:lang w:val="es-ES" w:eastAsia="es-ES"/>
              </w:rPr>
              <w:t>Informes delUNSWAP</w:t>
            </w:r>
          </w:p>
        </w:tc>
      </w:tr>
      <w:tr w:rsidR="00543AC4" w:rsidRPr="00600170" w:rsidTr="002F561D">
        <w:trPr>
          <w:trHeight w:val="615"/>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1.12: Clasificación en el Rastreador de la Transparencia de la Ayuda</w:t>
            </w:r>
            <w:r>
              <w:rPr>
                <w:i/>
                <w:iCs/>
                <w:lang w:val="es-ES" w:eastAsia="es-ES"/>
              </w:rPr>
              <w:t xml:space="preserve"> (QCPR)</w:t>
            </w:r>
          </w:p>
        </w:tc>
        <w:tc>
          <w:tcPr>
            <w:tcW w:w="1170" w:type="dxa"/>
            <w:gridSpan w:val="2"/>
          </w:tcPr>
          <w:p w:rsidR="00543AC4" w:rsidRPr="00A855D0" w:rsidRDefault="00543AC4" w:rsidP="002F561D">
            <w:pPr>
              <w:rPr>
                <w:sz w:val="18"/>
              </w:rPr>
            </w:pPr>
            <w:r>
              <w:rPr>
                <w:sz w:val="18"/>
                <w:szCs w:val="18"/>
                <w:lang w:val="es-ES" w:eastAsia="es-ES"/>
              </w:rPr>
              <w:t>No ambiciosa</w:t>
            </w:r>
          </w:p>
        </w:tc>
        <w:tc>
          <w:tcPr>
            <w:tcW w:w="1021" w:type="dxa"/>
            <w:gridSpan w:val="2"/>
          </w:tcPr>
          <w:p w:rsidR="00543AC4" w:rsidRPr="00A855D0" w:rsidRDefault="00543AC4" w:rsidP="002F561D">
            <w:pPr>
              <w:rPr>
                <w:sz w:val="18"/>
              </w:rPr>
            </w:pPr>
            <w:r>
              <w:rPr>
                <w:sz w:val="18"/>
                <w:szCs w:val="18"/>
                <w:lang w:val="es-ES" w:eastAsia="es-ES"/>
              </w:rPr>
              <w:t>Moderadamente ambiciosa</w:t>
            </w:r>
          </w:p>
        </w:tc>
        <w:tc>
          <w:tcPr>
            <w:tcW w:w="886" w:type="dxa"/>
            <w:tcMar>
              <w:left w:w="58" w:type="dxa"/>
              <w:right w:w="43" w:type="dxa"/>
            </w:tcMar>
          </w:tcPr>
          <w:p w:rsidR="00543AC4" w:rsidRPr="00A855D0" w:rsidRDefault="00543AC4" w:rsidP="002F561D">
            <w:pPr>
              <w:rPr>
                <w:sz w:val="18"/>
              </w:rPr>
            </w:pPr>
            <w:r>
              <w:rPr>
                <w:sz w:val="18"/>
                <w:szCs w:val="18"/>
                <w:lang w:val="es-ES" w:eastAsia="es-ES"/>
              </w:rPr>
              <w:t xml:space="preserve">Ambiciosa </w:t>
            </w:r>
          </w:p>
        </w:tc>
        <w:tc>
          <w:tcPr>
            <w:tcW w:w="886" w:type="dxa"/>
            <w:tcMar>
              <w:left w:w="58" w:type="dxa"/>
              <w:right w:w="43" w:type="dxa"/>
            </w:tcMar>
          </w:tcPr>
          <w:p w:rsidR="00543AC4" w:rsidRPr="00A855D0" w:rsidRDefault="00543AC4" w:rsidP="002F561D">
            <w:pPr>
              <w:rPr>
                <w:sz w:val="18"/>
              </w:rPr>
            </w:pPr>
            <w:r>
              <w:rPr>
                <w:sz w:val="18"/>
                <w:szCs w:val="18"/>
                <w:lang w:val="es-ES" w:eastAsia="es-ES"/>
              </w:rPr>
              <w:t>Ambiciosa</w:t>
            </w:r>
          </w:p>
        </w:tc>
        <w:tc>
          <w:tcPr>
            <w:tcW w:w="886" w:type="dxa"/>
            <w:tcMar>
              <w:left w:w="58" w:type="dxa"/>
              <w:right w:w="43" w:type="dxa"/>
            </w:tcMar>
          </w:tcPr>
          <w:p w:rsidR="00543AC4" w:rsidRPr="00A855D0" w:rsidRDefault="00543AC4" w:rsidP="002F561D">
            <w:pPr>
              <w:rPr>
                <w:sz w:val="18"/>
              </w:rPr>
            </w:pPr>
            <w:r>
              <w:rPr>
                <w:sz w:val="18"/>
                <w:szCs w:val="18"/>
                <w:lang w:val="es-ES" w:eastAsia="es-ES"/>
              </w:rPr>
              <w:t>Ambiciosa</w:t>
            </w:r>
          </w:p>
        </w:tc>
        <w:tc>
          <w:tcPr>
            <w:tcW w:w="1710" w:type="dxa"/>
          </w:tcPr>
          <w:p w:rsidR="00543AC4" w:rsidRPr="005144F6" w:rsidRDefault="00543AC4" w:rsidP="002F561D">
            <w:pPr>
              <w:rPr>
                <w:lang w:val="es-CO"/>
              </w:rPr>
            </w:pPr>
            <w:r>
              <w:rPr>
                <w:lang w:val="es-ES" w:eastAsia="es-ES"/>
              </w:rPr>
              <w:t>PublishWhatYouFund, la campaña mundial para la transparencia de la ayuda</w:t>
            </w:r>
          </w:p>
        </w:tc>
      </w:tr>
      <w:tr w:rsidR="00543AC4" w:rsidRPr="00600170" w:rsidTr="002F561D">
        <w:trPr>
          <w:trHeight w:val="125"/>
        </w:trPr>
        <w:tc>
          <w:tcPr>
            <w:tcW w:w="1644" w:type="dxa"/>
            <w:gridSpan w:val="2"/>
            <w:vMerge/>
            <w:noWrap/>
          </w:tcPr>
          <w:p w:rsidR="00543AC4" w:rsidRPr="005144F6" w:rsidRDefault="00543AC4" w:rsidP="002F561D">
            <w:pPr>
              <w:rPr>
                <w:lang w:val="es-CO"/>
              </w:rPr>
            </w:pPr>
          </w:p>
        </w:tc>
        <w:tc>
          <w:tcPr>
            <w:tcW w:w="2478" w:type="dxa"/>
            <w:gridSpan w:val="3"/>
            <w:vMerge w:val="restart"/>
            <w:shd w:val="clear" w:color="auto" w:fill="F2F2F2"/>
          </w:tcPr>
          <w:p w:rsidR="00543AC4" w:rsidRPr="00BD26C5" w:rsidRDefault="00543AC4" w:rsidP="002F561D">
            <w:pPr>
              <w:rPr>
                <w:lang w:val="es-AR"/>
              </w:rPr>
            </w:pPr>
            <w:r>
              <w:rPr>
                <w:b/>
                <w:bCs/>
                <w:lang w:val="es-ES" w:eastAsia="es-ES"/>
              </w:rPr>
              <w:t>Producto 2</w:t>
            </w:r>
            <w:r>
              <w:rPr>
                <w:lang w:val="es-ES" w:eastAsia="es-ES"/>
              </w:rPr>
              <w:t xml:space="preserve">: Mejor </w:t>
            </w:r>
            <w:r>
              <w:rPr>
                <w:lang w:val="es-ES" w:eastAsia="es-ES"/>
              </w:rPr>
              <w:lastRenderedPageBreak/>
              <w:t>movilización, gestión y alineación de recursos mediante un mayor foco en la rentabilidad y en la gestión sistemática de riesgos</w:t>
            </w:r>
          </w:p>
        </w:tc>
        <w:tc>
          <w:tcPr>
            <w:tcW w:w="2999" w:type="dxa"/>
          </w:tcPr>
          <w:p w:rsidR="00543AC4" w:rsidRPr="00BD26C5" w:rsidRDefault="00543AC4" w:rsidP="00E07E04">
            <w:pPr>
              <w:rPr>
                <w:lang w:val="es-AR"/>
              </w:rPr>
            </w:pPr>
            <w:r>
              <w:rPr>
                <w:lang w:val="es-ES" w:eastAsia="es-ES"/>
              </w:rPr>
              <w:lastRenderedPageBreak/>
              <w:t xml:space="preserve">2.1: Tamaño y tendencia de la </w:t>
            </w:r>
            <w:r>
              <w:rPr>
                <w:lang w:val="es-ES" w:eastAsia="es-ES"/>
              </w:rPr>
              <w:lastRenderedPageBreak/>
              <w:t xml:space="preserve">financiación en los países del Comité de Asistencia para el Desarrollo (DAC, por sus siglas en inglés) de la </w:t>
            </w:r>
            <w:r w:rsidRPr="005144F6">
              <w:rPr>
                <w:lang w:val="es-CO"/>
              </w:rPr>
              <w:t>Organización de Cooperación y Desarrollo Económicos, (OCDE)</w:t>
            </w:r>
            <w:r>
              <w:rPr>
                <w:lang w:val="es-ES" w:eastAsia="es-ES"/>
              </w:rPr>
              <w:t>) , países que no pertenecen a DAC de la</w:t>
            </w:r>
            <w:r w:rsidR="00A22828">
              <w:rPr>
                <w:lang w:val="es-ES" w:eastAsia="es-ES"/>
              </w:rPr>
              <w:t xml:space="preserve"> </w:t>
            </w:r>
            <w:bookmarkStart w:id="2" w:name="_GoBack"/>
            <w:bookmarkEnd w:id="2"/>
            <w:r>
              <w:rPr>
                <w:lang w:val="es-ES" w:eastAsia="es-ES"/>
              </w:rPr>
              <w:t>OCDE- y socios no gubernamentales (incluidas instituciones financieras internacionales, bancos de desarrollo regionales, sociedad civil sector privado)</w:t>
            </w:r>
            <w:r>
              <w:rPr>
                <w:i/>
                <w:iCs/>
                <w:lang w:val="es-ES" w:eastAsia="es-ES"/>
              </w:rPr>
              <w:t xml:space="preserve"> (QCPR compartida)</w:t>
            </w:r>
          </w:p>
        </w:tc>
        <w:tc>
          <w:tcPr>
            <w:tcW w:w="1170" w:type="dxa"/>
            <w:gridSpan w:val="2"/>
          </w:tcPr>
          <w:p w:rsidR="00543AC4" w:rsidRPr="00BD26C5" w:rsidRDefault="00543AC4" w:rsidP="002F561D">
            <w:pPr>
              <w:rPr>
                <w:sz w:val="18"/>
                <w:lang w:val="es-AR"/>
              </w:rPr>
            </w:pPr>
            <w:r>
              <w:rPr>
                <w:sz w:val="18"/>
                <w:szCs w:val="18"/>
                <w:lang w:val="es-ES" w:eastAsia="es-ES"/>
              </w:rPr>
              <w:lastRenderedPageBreak/>
              <w:t xml:space="preserve">Total: $963 </w:t>
            </w:r>
            <w:r>
              <w:rPr>
                <w:sz w:val="18"/>
                <w:szCs w:val="18"/>
                <w:lang w:val="es-ES" w:eastAsia="es-ES"/>
              </w:rPr>
              <w:lastRenderedPageBreak/>
              <w:t>millones, incluidos $437 millones para financiación básica y $526 millones para la no básica</w:t>
            </w:r>
          </w:p>
        </w:tc>
        <w:tc>
          <w:tcPr>
            <w:tcW w:w="1021" w:type="dxa"/>
            <w:gridSpan w:val="2"/>
          </w:tcPr>
          <w:p w:rsidR="00543AC4" w:rsidRPr="00BD26C5" w:rsidRDefault="00543AC4" w:rsidP="002F561D">
            <w:pPr>
              <w:rPr>
                <w:sz w:val="18"/>
                <w:lang w:val="es-AR"/>
              </w:rPr>
            </w:pPr>
            <w:r>
              <w:rPr>
                <w:sz w:val="18"/>
                <w:szCs w:val="18"/>
                <w:lang w:val="es-ES" w:eastAsia="es-ES"/>
              </w:rPr>
              <w:lastRenderedPageBreak/>
              <w:t xml:space="preserve">Total: </w:t>
            </w:r>
            <w:r>
              <w:rPr>
                <w:sz w:val="18"/>
                <w:szCs w:val="18"/>
                <w:lang w:val="es-ES" w:eastAsia="es-ES"/>
              </w:rPr>
              <w:lastRenderedPageBreak/>
              <w:t>$1.018 millones, incluidos $476 millones para financiación básica y $542 millones para la no básica</w:t>
            </w:r>
          </w:p>
        </w:tc>
        <w:tc>
          <w:tcPr>
            <w:tcW w:w="886" w:type="dxa"/>
          </w:tcPr>
          <w:p w:rsidR="00543AC4" w:rsidRPr="00BD26C5" w:rsidRDefault="00543AC4" w:rsidP="002F561D">
            <w:pPr>
              <w:rPr>
                <w:sz w:val="18"/>
                <w:lang w:val="es-AR"/>
              </w:rPr>
            </w:pPr>
            <w:r>
              <w:rPr>
                <w:sz w:val="18"/>
                <w:szCs w:val="18"/>
                <w:lang w:val="es-ES" w:eastAsia="es-ES"/>
              </w:rPr>
              <w:lastRenderedPageBreak/>
              <w:t xml:space="preserve">Total: </w:t>
            </w:r>
            <w:r>
              <w:rPr>
                <w:sz w:val="18"/>
                <w:szCs w:val="18"/>
                <w:lang w:val="es-ES" w:eastAsia="es-ES"/>
              </w:rPr>
              <w:lastRenderedPageBreak/>
              <w:t>$1.051 millones, incluidos $478 millones para financiación básica y $573 millones para la no básica</w:t>
            </w:r>
          </w:p>
        </w:tc>
        <w:tc>
          <w:tcPr>
            <w:tcW w:w="886" w:type="dxa"/>
          </w:tcPr>
          <w:p w:rsidR="00543AC4" w:rsidRPr="00BD26C5" w:rsidRDefault="00543AC4" w:rsidP="002F561D">
            <w:pPr>
              <w:rPr>
                <w:sz w:val="18"/>
                <w:lang w:val="es-AR"/>
              </w:rPr>
            </w:pPr>
            <w:r>
              <w:rPr>
                <w:sz w:val="18"/>
                <w:szCs w:val="18"/>
                <w:lang w:val="es-ES" w:eastAsia="es-ES"/>
              </w:rPr>
              <w:lastRenderedPageBreak/>
              <w:t xml:space="preserve">Total: </w:t>
            </w:r>
            <w:r>
              <w:rPr>
                <w:sz w:val="18"/>
                <w:szCs w:val="18"/>
                <w:lang w:val="es-ES" w:eastAsia="es-ES"/>
              </w:rPr>
              <w:lastRenderedPageBreak/>
              <w:t>$1.093 millones, incluidos $482 millones para financiación básica y $611 millones para la no básica</w:t>
            </w:r>
          </w:p>
        </w:tc>
        <w:tc>
          <w:tcPr>
            <w:tcW w:w="886" w:type="dxa"/>
          </w:tcPr>
          <w:p w:rsidR="00543AC4" w:rsidRPr="00BD26C5" w:rsidRDefault="00543AC4" w:rsidP="002F561D">
            <w:pPr>
              <w:rPr>
                <w:sz w:val="18"/>
                <w:lang w:val="es-AR"/>
              </w:rPr>
            </w:pPr>
            <w:r>
              <w:rPr>
                <w:sz w:val="18"/>
                <w:szCs w:val="18"/>
                <w:lang w:val="es-ES" w:eastAsia="es-ES"/>
              </w:rPr>
              <w:lastRenderedPageBreak/>
              <w:t xml:space="preserve">Total: </w:t>
            </w:r>
            <w:r>
              <w:rPr>
                <w:sz w:val="18"/>
                <w:szCs w:val="18"/>
                <w:lang w:val="es-ES" w:eastAsia="es-ES"/>
              </w:rPr>
              <w:lastRenderedPageBreak/>
              <w:t>$1.142 millones, incluidos $486 millones para financiación básica y $656 millones para la no básica</w:t>
            </w:r>
          </w:p>
        </w:tc>
        <w:tc>
          <w:tcPr>
            <w:tcW w:w="1710" w:type="dxa"/>
          </w:tcPr>
          <w:p w:rsidR="00543AC4" w:rsidRPr="005144F6" w:rsidRDefault="00543AC4" w:rsidP="002F561D">
            <w:pPr>
              <w:rPr>
                <w:lang w:val="es-CO"/>
              </w:rPr>
            </w:pPr>
            <w:r w:rsidRPr="005144F6">
              <w:rPr>
                <w:lang w:val="es-CO"/>
              </w:rPr>
              <w:lastRenderedPageBreak/>
              <w:t xml:space="preserve">Sistema de </w:t>
            </w:r>
            <w:r w:rsidRPr="005144F6">
              <w:rPr>
                <w:lang w:val="es-CO"/>
              </w:rPr>
              <w:lastRenderedPageBreak/>
              <w:t>seguimiento de los informes sobre los acuerdos con los donantes</w:t>
            </w:r>
            <w:r>
              <w:rPr>
                <w:lang w:val="es-ES" w:eastAsia="es-ES"/>
              </w:rPr>
              <w:t xml:space="preserve"> (DARTS, por sus siglas en inglés) y Atlas</w:t>
            </w:r>
          </w:p>
        </w:tc>
      </w:tr>
      <w:tr w:rsidR="00543AC4" w:rsidTr="002F561D">
        <w:trPr>
          <w:trHeight w:val="458"/>
        </w:trPr>
        <w:tc>
          <w:tcPr>
            <w:tcW w:w="1644" w:type="dxa"/>
            <w:gridSpan w:val="2"/>
            <w:vMerge/>
            <w:noWrap/>
          </w:tcPr>
          <w:p w:rsidR="00543AC4" w:rsidRPr="005144F6" w:rsidRDefault="00543AC4" w:rsidP="002F561D">
            <w:pPr>
              <w:rPr>
                <w:lang w:val="es-CO"/>
              </w:rPr>
            </w:pPr>
          </w:p>
        </w:tc>
        <w:tc>
          <w:tcPr>
            <w:tcW w:w="2478" w:type="dxa"/>
            <w:gridSpan w:val="3"/>
            <w:vMerge/>
            <w:shd w:val="clear" w:color="auto" w:fill="F2F2F2"/>
          </w:tcPr>
          <w:p w:rsidR="00543AC4" w:rsidRPr="005144F6" w:rsidRDefault="00543AC4" w:rsidP="002F561D">
            <w:pPr>
              <w:rPr>
                <w:lang w:val="es-CO"/>
              </w:rPr>
            </w:pPr>
          </w:p>
        </w:tc>
        <w:tc>
          <w:tcPr>
            <w:tcW w:w="2999" w:type="dxa"/>
          </w:tcPr>
          <w:p w:rsidR="00543AC4" w:rsidRPr="00BD26C5" w:rsidRDefault="00543AC4" w:rsidP="002F561D">
            <w:pPr>
              <w:rPr>
                <w:lang w:val="es-AR"/>
              </w:rPr>
            </w:pPr>
            <w:r>
              <w:rPr>
                <w:lang w:val="es-ES" w:eastAsia="es-ES"/>
              </w:rPr>
              <w:t>2.2: Número de dólares aportados por donantes que no se encuentren en los 15 principales</w:t>
            </w:r>
          </w:p>
        </w:tc>
        <w:tc>
          <w:tcPr>
            <w:tcW w:w="1170" w:type="dxa"/>
            <w:gridSpan w:val="2"/>
          </w:tcPr>
          <w:p w:rsidR="00543AC4" w:rsidRPr="001A26EA" w:rsidRDefault="00543AC4" w:rsidP="002F561D">
            <w:r>
              <w:rPr>
                <w:lang w:val="es-ES" w:eastAsia="es-ES"/>
              </w:rPr>
              <w:t>$149 millones</w:t>
            </w:r>
          </w:p>
        </w:tc>
        <w:tc>
          <w:tcPr>
            <w:tcW w:w="1021" w:type="dxa"/>
            <w:gridSpan w:val="2"/>
          </w:tcPr>
          <w:p w:rsidR="00543AC4" w:rsidRPr="001A26EA" w:rsidRDefault="00543AC4" w:rsidP="002F561D">
            <w:r>
              <w:rPr>
                <w:lang w:val="es-ES" w:eastAsia="es-ES"/>
              </w:rPr>
              <w:t>$164 millones</w:t>
            </w:r>
          </w:p>
        </w:tc>
        <w:tc>
          <w:tcPr>
            <w:tcW w:w="886" w:type="dxa"/>
          </w:tcPr>
          <w:p w:rsidR="00543AC4" w:rsidRPr="001A26EA" w:rsidRDefault="00543AC4" w:rsidP="002F561D">
            <w:r>
              <w:rPr>
                <w:lang w:val="es-ES" w:eastAsia="es-ES"/>
              </w:rPr>
              <w:t>$172 millones</w:t>
            </w:r>
          </w:p>
        </w:tc>
        <w:tc>
          <w:tcPr>
            <w:tcW w:w="886" w:type="dxa"/>
          </w:tcPr>
          <w:p w:rsidR="00543AC4" w:rsidRPr="001A26EA" w:rsidRDefault="00543AC4" w:rsidP="002F561D">
            <w:r>
              <w:rPr>
                <w:lang w:val="es-ES" w:eastAsia="es-ES"/>
              </w:rPr>
              <w:t>$181 millones</w:t>
            </w:r>
          </w:p>
        </w:tc>
        <w:tc>
          <w:tcPr>
            <w:tcW w:w="886" w:type="dxa"/>
          </w:tcPr>
          <w:p w:rsidR="00543AC4" w:rsidRPr="001A26EA" w:rsidRDefault="00543AC4" w:rsidP="002F561D">
            <w:r>
              <w:rPr>
                <w:lang w:val="es-ES" w:eastAsia="es-ES"/>
              </w:rPr>
              <w:t>$190 millones</w:t>
            </w:r>
          </w:p>
        </w:tc>
        <w:tc>
          <w:tcPr>
            <w:tcW w:w="1710" w:type="dxa"/>
          </w:tcPr>
          <w:p w:rsidR="00543AC4" w:rsidRPr="001A26EA" w:rsidRDefault="00543AC4" w:rsidP="002F561D">
            <w:r>
              <w:rPr>
                <w:lang w:val="es-ES" w:eastAsia="es-ES"/>
              </w:rPr>
              <w:t>DARTS y Atlas</w:t>
            </w:r>
          </w:p>
        </w:tc>
      </w:tr>
      <w:tr w:rsidR="00543AC4" w:rsidRPr="00600170" w:rsidTr="002F561D">
        <w:trPr>
          <w:trHeight w:val="900"/>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2.3: Porcentaje de la ganancia total que se utiliza para costos de gestión recurrentes</w:t>
            </w:r>
          </w:p>
        </w:tc>
        <w:tc>
          <w:tcPr>
            <w:tcW w:w="1170" w:type="dxa"/>
            <w:gridSpan w:val="2"/>
            <w:tcMar>
              <w:left w:w="72" w:type="dxa"/>
              <w:right w:w="58" w:type="dxa"/>
            </w:tcMar>
          </w:tcPr>
          <w:p w:rsidR="00543AC4" w:rsidRPr="001A26EA" w:rsidRDefault="00543AC4" w:rsidP="002F561D">
            <w:r>
              <w:rPr>
                <w:lang w:val="es-ES" w:eastAsia="es-ES"/>
              </w:rPr>
              <w:t>13,1% (presupuesto); 10,8% (real)</w:t>
            </w:r>
          </w:p>
        </w:tc>
        <w:tc>
          <w:tcPr>
            <w:tcW w:w="1021" w:type="dxa"/>
            <w:gridSpan w:val="2"/>
          </w:tcPr>
          <w:p w:rsidR="00543AC4" w:rsidRPr="001A26EA" w:rsidRDefault="00543AC4" w:rsidP="002F561D">
            <w:r>
              <w:rPr>
                <w:lang w:val="es-ES" w:eastAsia="es-ES"/>
              </w:rPr>
              <w:t>11,2%</w:t>
            </w:r>
          </w:p>
        </w:tc>
        <w:tc>
          <w:tcPr>
            <w:tcW w:w="886" w:type="dxa"/>
          </w:tcPr>
          <w:p w:rsidR="00543AC4" w:rsidRPr="001A26EA" w:rsidRDefault="00543AC4" w:rsidP="002F561D">
            <w:r>
              <w:rPr>
                <w:lang w:val="es-ES" w:eastAsia="es-ES"/>
              </w:rPr>
              <w:t>11,2%</w:t>
            </w:r>
          </w:p>
        </w:tc>
        <w:tc>
          <w:tcPr>
            <w:tcW w:w="886" w:type="dxa"/>
          </w:tcPr>
          <w:p w:rsidR="00543AC4" w:rsidRPr="001A26EA" w:rsidRDefault="00543AC4" w:rsidP="002F561D">
            <w:r>
              <w:rPr>
                <w:lang w:val="es-ES" w:eastAsia="es-ES"/>
              </w:rPr>
              <w:t>11,2%</w:t>
            </w:r>
          </w:p>
        </w:tc>
        <w:tc>
          <w:tcPr>
            <w:tcW w:w="886" w:type="dxa"/>
          </w:tcPr>
          <w:p w:rsidR="00543AC4" w:rsidRPr="001A26EA" w:rsidRDefault="00543AC4" w:rsidP="002F561D">
            <w:r>
              <w:rPr>
                <w:lang w:val="es-ES" w:eastAsia="es-ES"/>
              </w:rPr>
              <w:t>11,2%</w:t>
            </w:r>
          </w:p>
        </w:tc>
        <w:tc>
          <w:tcPr>
            <w:tcW w:w="1710" w:type="dxa"/>
          </w:tcPr>
          <w:p w:rsidR="00543AC4" w:rsidRPr="00BD26C5" w:rsidRDefault="00543AC4" w:rsidP="002F561D">
            <w:pPr>
              <w:rPr>
                <w:lang w:val="es-AR"/>
              </w:rPr>
            </w:pPr>
            <w:r>
              <w:rPr>
                <w:lang w:val="es-ES" w:eastAsia="es-ES"/>
              </w:rPr>
              <w:t>Informe anual del Director Ejecutivo y Examen Financiero y Estadístico</w:t>
            </w:r>
          </w:p>
        </w:tc>
      </w:tr>
      <w:tr w:rsidR="00543AC4" w:rsidRPr="00600170" w:rsidTr="002F561D">
        <w:trPr>
          <w:trHeight w:val="404"/>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2.4: Tasa de aplicación para recursos regulares</w:t>
            </w:r>
          </w:p>
        </w:tc>
        <w:tc>
          <w:tcPr>
            <w:tcW w:w="1170" w:type="dxa"/>
            <w:gridSpan w:val="2"/>
          </w:tcPr>
          <w:p w:rsidR="00543AC4" w:rsidRPr="001A26EA" w:rsidRDefault="00543AC4" w:rsidP="002F561D">
            <w:r>
              <w:rPr>
                <w:lang w:val="es-ES" w:eastAsia="es-ES"/>
              </w:rPr>
              <w:t>91,6%</w:t>
            </w:r>
          </w:p>
        </w:tc>
        <w:tc>
          <w:tcPr>
            <w:tcW w:w="1021" w:type="dxa"/>
            <w:gridSpan w:val="2"/>
          </w:tcPr>
          <w:p w:rsidR="00543AC4" w:rsidRPr="001A26EA" w:rsidRDefault="00543AC4" w:rsidP="002F561D">
            <w:r>
              <w:rPr>
                <w:lang w:val="es-ES" w:eastAsia="es-ES"/>
              </w:rPr>
              <w:t>97%</w:t>
            </w:r>
          </w:p>
        </w:tc>
        <w:tc>
          <w:tcPr>
            <w:tcW w:w="886" w:type="dxa"/>
          </w:tcPr>
          <w:p w:rsidR="00543AC4" w:rsidRPr="001A26EA" w:rsidRDefault="00543AC4" w:rsidP="002F561D">
            <w:r>
              <w:rPr>
                <w:lang w:val="es-ES" w:eastAsia="es-ES"/>
              </w:rPr>
              <w:t>97%</w:t>
            </w:r>
          </w:p>
        </w:tc>
        <w:tc>
          <w:tcPr>
            <w:tcW w:w="886" w:type="dxa"/>
          </w:tcPr>
          <w:p w:rsidR="00543AC4" w:rsidRPr="001A26EA" w:rsidRDefault="00543AC4" w:rsidP="002F561D">
            <w:r>
              <w:rPr>
                <w:lang w:val="es-ES" w:eastAsia="es-ES"/>
              </w:rPr>
              <w:t>97%</w:t>
            </w:r>
          </w:p>
        </w:tc>
        <w:tc>
          <w:tcPr>
            <w:tcW w:w="886" w:type="dxa"/>
          </w:tcPr>
          <w:p w:rsidR="00543AC4" w:rsidRPr="001A26EA" w:rsidRDefault="00543AC4" w:rsidP="002F561D">
            <w:r>
              <w:rPr>
                <w:lang w:val="es-ES" w:eastAsia="es-ES"/>
              </w:rPr>
              <w:t>97%</w:t>
            </w:r>
          </w:p>
        </w:tc>
        <w:tc>
          <w:tcPr>
            <w:tcW w:w="1710" w:type="dxa"/>
          </w:tcPr>
          <w:p w:rsidR="00543AC4" w:rsidRPr="00BD26C5" w:rsidRDefault="00543AC4" w:rsidP="002F561D">
            <w:pPr>
              <w:rPr>
                <w:lang w:val="es-AR"/>
              </w:rPr>
            </w:pPr>
            <w:r>
              <w:rPr>
                <w:lang w:val="es-ES" w:eastAsia="es-ES"/>
              </w:rPr>
              <w:t>Informe anual del Director Ejecutivo y Examen Financiero y Estadístico</w:t>
            </w:r>
          </w:p>
        </w:tc>
      </w:tr>
      <w:tr w:rsidR="00543AC4" w:rsidTr="002F561D">
        <w:trPr>
          <w:trHeight w:val="900"/>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2.5: Porcentaje de proyectos básicos que han gastado 95% del presupuesto original antes de la finalización del proyecto original</w:t>
            </w:r>
          </w:p>
        </w:tc>
        <w:tc>
          <w:tcPr>
            <w:tcW w:w="1170" w:type="dxa"/>
            <w:gridSpan w:val="2"/>
          </w:tcPr>
          <w:p w:rsidR="00543AC4" w:rsidRPr="001A26EA" w:rsidRDefault="00543AC4" w:rsidP="002F561D">
            <w:r>
              <w:rPr>
                <w:lang w:val="es-ES" w:eastAsia="es-ES"/>
              </w:rPr>
              <w:t>51%</w:t>
            </w:r>
          </w:p>
        </w:tc>
        <w:tc>
          <w:tcPr>
            <w:tcW w:w="1021" w:type="dxa"/>
            <w:gridSpan w:val="2"/>
          </w:tcPr>
          <w:p w:rsidR="00543AC4" w:rsidRPr="001A26EA" w:rsidRDefault="00543AC4" w:rsidP="002F561D">
            <w:r>
              <w:rPr>
                <w:lang w:val="es-ES" w:eastAsia="es-ES"/>
              </w:rPr>
              <w:t>55%</w:t>
            </w:r>
          </w:p>
        </w:tc>
        <w:tc>
          <w:tcPr>
            <w:tcW w:w="886" w:type="dxa"/>
          </w:tcPr>
          <w:p w:rsidR="00543AC4" w:rsidRPr="001A26EA" w:rsidRDefault="00543AC4" w:rsidP="002F561D">
            <w:r>
              <w:rPr>
                <w:lang w:val="es-ES" w:eastAsia="es-ES"/>
              </w:rPr>
              <w:t>57%</w:t>
            </w:r>
          </w:p>
        </w:tc>
        <w:tc>
          <w:tcPr>
            <w:tcW w:w="886" w:type="dxa"/>
          </w:tcPr>
          <w:p w:rsidR="00543AC4" w:rsidRPr="001A26EA" w:rsidRDefault="00543AC4" w:rsidP="002F561D">
            <w:r>
              <w:rPr>
                <w:lang w:val="es-ES" w:eastAsia="es-ES"/>
              </w:rPr>
              <w:t>60%</w:t>
            </w:r>
          </w:p>
        </w:tc>
        <w:tc>
          <w:tcPr>
            <w:tcW w:w="886" w:type="dxa"/>
          </w:tcPr>
          <w:p w:rsidR="00543AC4" w:rsidRPr="001A26EA" w:rsidRDefault="00543AC4" w:rsidP="002F561D">
            <w:r>
              <w:rPr>
                <w:lang w:val="es-ES" w:eastAsia="es-ES"/>
              </w:rPr>
              <w:t>63%</w:t>
            </w:r>
          </w:p>
        </w:tc>
        <w:tc>
          <w:tcPr>
            <w:tcW w:w="1710" w:type="dxa"/>
          </w:tcPr>
          <w:p w:rsidR="00543AC4" w:rsidRPr="001A26EA" w:rsidRDefault="00543AC4" w:rsidP="002F561D">
            <w:r>
              <w:rPr>
                <w:lang w:val="es-ES" w:eastAsia="es-ES"/>
              </w:rPr>
              <w:t>DARTS y ATLAS</w:t>
            </w:r>
          </w:p>
        </w:tc>
      </w:tr>
      <w:tr w:rsidR="00543AC4" w:rsidTr="002F561D">
        <w:trPr>
          <w:trHeight w:val="440"/>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i/>
                <w:iCs/>
                <w:lang w:val="es-AR"/>
              </w:rPr>
            </w:pPr>
            <w:r>
              <w:rPr>
                <w:lang w:val="es-ES" w:eastAsia="es-ES"/>
              </w:rPr>
              <w:t>2.6: Porcentaje de los anticipos de la cuenta del fondo operativo que se han vencido</w:t>
            </w:r>
          </w:p>
        </w:tc>
        <w:tc>
          <w:tcPr>
            <w:tcW w:w="1170" w:type="dxa"/>
            <w:gridSpan w:val="2"/>
          </w:tcPr>
          <w:p w:rsidR="00543AC4" w:rsidRPr="001A26EA" w:rsidRDefault="00543AC4" w:rsidP="002F561D">
            <w:r>
              <w:rPr>
                <w:lang w:val="es-ES" w:eastAsia="es-ES"/>
              </w:rPr>
              <w:t>3,0%</w:t>
            </w:r>
          </w:p>
        </w:tc>
        <w:tc>
          <w:tcPr>
            <w:tcW w:w="1021" w:type="dxa"/>
            <w:gridSpan w:val="2"/>
          </w:tcPr>
          <w:p w:rsidR="00543AC4" w:rsidRPr="001A26EA" w:rsidRDefault="00543AC4" w:rsidP="002F561D">
            <w:r>
              <w:rPr>
                <w:lang w:val="es-ES" w:eastAsia="es-ES"/>
              </w:rPr>
              <w:t>6,0%</w:t>
            </w:r>
          </w:p>
        </w:tc>
        <w:tc>
          <w:tcPr>
            <w:tcW w:w="886" w:type="dxa"/>
          </w:tcPr>
          <w:p w:rsidR="00543AC4" w:rsidRPr="001A26EA" w:rsidRDefault="00543AC4" w:rsidP="002F561D">
            <w:r>
              <w:rPr>
                <w:lang w:val="es-ES" w:eastAsia="es-ES"/>
              </w:rPr>
              <w:t>6,0%</w:t>
            </w:r>
          </w:p>
        </w:tc>
        <w:tc>
          <w:tcPr>
            <w:tcW w:w="886" w:type="dxa"/>
          </w:tcPr>
          <w:p w:rsidR="00543AC4" w:rsidRPr="001A26EA" w:rsidRDefault="00543AC4" w:rsidP="002F561D">
            <w:r>
              <w:rPr>
                <w:lang w:val="es-ES" w:eastAsia="es-ES"/>
              </w:rPr>
              <w:t>5,0%</w:t>
            </w:r>
          </w:p>
        </w:tc>
        <w:tc>
          <w:tcPr>
            <w:tcW w:w="886" w:type="dxa"/>
          </w:tcPr>
          <w:p w:rsidR="00543AC4" w:rsidRPr="001A26EA" w:rsidRDefault="00543AC4" w:rsidP="002F561D">
            <w:r>
              <w:rPr>
                <w:lang w:val="es-ES" w:eastAsia="es-ES"/>
              </w:rPr>
              <w:t>5,0%</w:t>
            </w:r>
          </w:p>
        </w:tc>
        <w:tc>
          <w:tcPr>
            <w:tcW w:w="1710" w:type="dxa"/>
          </w:tcPr>
          <w:p w:rsidR="00543AC4" w:rsidRPr="001A26EA" w:rsidRDefault="00543AC4" w:rsidP="002F561D">
            <w:r>
              <w:rPr>
                <w:lang w:val="es-ES" w:eastAsia="es-ES"/>
              </w:rPr>
              <w:t>Atlas</w:t>
            </w:r>
          </w:p>
        </w:tc>
      </w:tr>
      <w:tr w:rsidR="00543AC4" w:rsidTr="002F561D">
        <w:trPr>
          <w:trHeight w:val="70"/>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2.7: Número de las oficinas en los países que hacen un seguimiento y realizan informes de los gastos mediante marcadores de género validados por un proceso de aseguramiento de la calidad</w:t>
            </w:r>
            <w:r>
              <w:rPr>
                <w:i/>
                <w:iCs/>
                <w:lang w:val="es-ES" w:eastAsia="es-ES"/>
              </w:rPr>
              <w:t xml:space="preserve">(QCPR </w:t>
            </w:r>
            <w:r>
              <w:rPr>
                <w:i/>
                <w:iCs/>
                <w:lang w:val="es-ES" w:eastAsia="es-ES"/>
              </w:rPr>
              <w:lastRenderedPageBreak/>
              <w:t>compartida)</w:t>
            </w:r>
          </w:p>
        </w:tc>
        <w:tc>
          <w:tcPr>
            <w:tcW w:w="1170" w:type="dxa"/>
            <w:gridSpan w:val="2"/>
          </w:tcPr>
          <w:p w:rsidR="00543AC4" w:rsidRPr="001A26EA" w:rsidRDefault="00543AC4" w:rsidP="002F561D">
            <w:r w:rsidRPr="001A26EA">
              <w:lastRenderedPageBreak/>
              <w:t>0</w:t>
            </w:r>
          </w:p>
        </w:tc>
        <w:tc>
          <w:tcPr>
            <w:tcW w:w="1021" w:type="dxa"/>
            <w:gridSpan w:val="2"/>
          </w:tcPr>
          <w:p w:rsidR="00543AC4" w:rsidRPr="001A26EA" w:rsidRDefault="00543AC4" w:rsidP="002F561D">
            <w:r w:rsidRPr="001A26EA">
              <w:t>127</w:t>
            </w:r>
          </w:p>
        </w:tc>
        <w:tc>
          <w:tcPr>
            <w:tcW w:w="886" w:type="dxa"/>
          </w:tcPr>
          <w:p w:rsidR="00543AC4" w:rsidRPr="001A26EA" w:rsidRDefault="00543AC4" w:rsidP="002F561D">
            <w:r w:rsidRPr="001A26EA">
              <w:t>127</w:t>
            </w:r>
          </w:p>
        </w:tc>
        <w:tc>
          <w:tcPr>
            <w:tcW w:w="886" w:type="dxa"/>
          </w:tcPr>
          <w:p w:rsidR="00543AC4" w:rsidRPr="001A26EA" w:rsidRDefault="00543AC4" w:rsidP="002F561D">
            <w:r w:rsidRPr="001A26EA">
              <w:t>127</w:t>
            </w:r>
          </w:p>
        </w:tc>
        <w:tc>
          <w:tcPr>
            <w:tcW w:w="886" w:type="dxa"/>
          </w:tcPr>
          <w:p w:rsidR="00543AC4" w:rsidRPr="001A26EA" w:rsidRDefault="00543AC4" w:rsidP="002F561D">
            <w:r w:rsidRPr="001A26EA">
              <w:t>127</w:t>
            </w:r>
          </w:p>
        </w:tc>
        <w:tc>
          <w:tcPr>
            <w:tcW w:w="1710" w:type="dxa"/>
          </w:tcPr>
          <w:p w:rsidR="00543AC4" w:rsidRPr="001A26EA" w:rsidRDefault="00543AC4" w:rsidP="002F561D">
            <w:r>
              <w:rPr>
                <w:lang w:val="es-ES" w:eastAsia="es-ES"/>
              </w:rPr>
              <w:t>Sistema de Programación Global</w:t>
            </w:r>
          </w:p>
        </w:tc>
      </w:tr>
      <w:tr w:rsidR="00543AC4" w:rsidTr="002F561D">
        <w:trPr>
          <w:trHeight w:val="70"/>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2.8: Número de oficinas en los países que aplican servicios comunes, acuerdos comunes a largo plazo; enfoque armonizado hacia la adquisición, gestión común de recursos humanos, servicios de tecnología de la información y comunicación o servicios de gestión financiera</w:t>
            </w:r>
            <w:r>
              <w:rPr>
                <w:i/>
                <w:iCs/>
                <w:lang w:val="es-ES" w:eastAsia="es-ES"/>
              </w:rPr>
              <w:t xml:space="preserve"> (QCPR compartida)</w:t>
            </w:r>
          </w:p>
        </w:tc>
        <w:tc>
          <w:tcPr>
            <w:tcW w:w="1170" w:type="dxa"/>
            <w:gridSpan w:val="2"/>
          </w:tcPr>
          <w:p w:rsidR="00543AC4" w:rsidRPr="001A26EA" w:rsidRDefault="00543AC4" w:rsidP="002F561D">
            <w:r>
              <w:rPr>
                <w:lang w:val="es-ES" w:eastAsia="es-ES"/>
              </w:rPr>
              <w:t>No aplica</w:t>
            </w:r>
          </w:p>
        </w:tc>
        <w:tc>
          <w:tcPr>
            <w:tcW w:w="3679" w:type="dxa"/>
            <w:gridSpan w:val="5"/>
          </w:tcPr>
          <w:p w:rsidR="00543AC4" w:rsidRPr="00BD26C5" w:rsidRDefault="00543AC4" w:rsidP="002F561D">
            <w:pPr>
              <w:rPr>
                <w:lang w:val="es-AR"/>
              </w:rPr>
            </w:pPr>
            <w:r>
              <w:rPr>
                <w:lang w:val="es-ES" w:eastAsia="es-ES"/>
              </w:rPr>
              <w:t>Se determinará cuando se llegue a un acuerdo sobre un enfoque común en todos los fondos y programas</w:t>
            </w:r>
          </w:p>
        </w:tc>
        <w:tc>
          <w:tcPr>
            <w:tcW w:w="1710" w:type="dxa"/>
          </w:tcPr>
          <w:p w:rsidR="00543AC4" w:rsidRPr="001A26EA" w:rsidRDefault="00543AC4" w:rsidP="002F561D">
            <w:r>
              <w:rPr>
                <w:lang w:val="es-ES" w:eastAsia="es-ES"/>
              </w:rPr>
              <w:t>Se determinará</w:t>
            </w:r>
          </w:p>
        </w:tc>
      </w:tr>
      <w:tr w:rsidR="00543AC4" w:rsidTr="002F561D">
        <w:trPr>
          <w:trHeight w:val="224"/>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1A26EA" w:rsidRDefault="00543AC4" w:rsidP="002F561D">
            <w:r>
              <w:rPr>
                <w:lang w:val="es-ES" w:eastAsia="es-ES"/>
              </w:rPr>
              <w:t>2.9: Tasa de puestos vacantes</w:t>
            </w:r>
          </w:p>
        </w:tc>
        <w:tc>
          <w:tcPr>
            <w:tcW w:w="1170" w:type="dxa"/>
            <w:gridSpan w:val="2"/>
          </w:tcPr>
          <w:p w:rsidR="00543AC4" w:rsidRPr="001A26EA" w:rsidRDefault="00543AC4" w:rsidP="002F561D">
            <w:r>
              <w:rPr>
                <w:lang w:val="es-ES" w:eastAsia="es-ES"/>
              </w:rPr>
              <w:t>15%</w:t>
            </w:r>
          </w:p>
        </w:tc>
        <w:tc>
          <w:tcPr>
            <w:tcW w:w="1021" w:type="dxa"/>
            <w:gridSpan w:val="2"/>
          </w:tcPr>
          <w:p w:rsidR="00543AC4" w:rsidRPr="001A26EA" w:rsidRDefault="00543AC4" w:rsidP="002F561D">
            <w:r>
              <w:rPr>
                <w:lang w:val="es-ES" w:eastAsia="es-ES"/>
              </w:rPr>
              <w:t>14%</w:t>
            </w:r>
          </w:p>
        </w:tc>
        <w:tc>
          <w:tcPr>
            <w:tcW w:w="886" w:type="dxa"/>
          </w:tcPr>
          <w:p w:rsidR="00543AC4" w:rsidRPr="001A26EA" w:rsidRDefault="00543AC4" w:rsidP="002F561D">
            <w:r>
              <w:rPr>
                <w:lang w:val="es-ES" w:eastAsia="es-ES"/>
              </w:rPr>
              <w:t>14%</w:t>
            </w:r>
          </w:p>
        </w:tc>
        <w:tc>
          <w:tcPr>
            <w:tcW w:w="886" w:type="dxa"/>
          </w:tcPr>
          <w:p w:rsidR="00543AC4" w:rsidRPr="001A26EA" w:rsidRDefault="00543AC4" w:rsidP="002F561D">
            <w:r>
              <w:rPr>
                <w:lang w:val="es-ES" w:eastAsia="es-ES"/>
              </w:rPr>
              <w:t>13%</w:t>
            </w:r>
          </w:p>
        </w:tc>
        <w:tc>
          <w:tcPr>
            <w:tcW w:w="886" w:type="dxa"/>
          </w:tcPr>
          <w:p w:rsidR="00543AC4" w:rsidRPr="001A26EA" w:rsidRDefault="00543AC4" w:rsidP="002F561D">
            <w:r>
              <w:rPr>
                <w:lang w:val="es-ES" w:eastAsia="es-ES"/>
              </w:rPr>
              <w:t>13%</w:t>
            </w:r>
          </w:p>
        </w:tc>
        <w:tc>
          <w:tcPr>
            <w:tcW w:w="1710" w:type="dxa"/>
          </w:tcPr>
          <w:p w:rsidR="00543AC4" w:rsidRPr="001A26EA" w:rsidRDefault="00543AC4" w:rsidP="002F561D">
            <w:r>
              <w:rPr>
                <w:lang w:val="es-ES" w:eastAsia="es-ES"/>
              </w:rPr>
              <w:t>Atlas</w:t>
            </w:r>
          </w:p>
        </w:tc>
      </w:tr>
      <w:tr w:rsidR="00543AC4" w:rsidRPr="00600170" w:rsidTr="002F561D">
        <w:trPr>
          <w:trHeight w:val="600"/>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2.10: Porcentaje del personal que percibe que UNFPA maneja de manera efectiva el bajo desempeño</w:t>
            </w:r>
          </w:p>
        </w:tc>
        <w:tc>
          <w:tcPr>
            <w:tcW w:w="1170" w:type="dxa"/>
            <w:gridSpan w:val="2"/>
          </w:tcPr>
          <w:p w:rsidR="00543AC4" w:rsidRPr="001A26EA" w:rsidRDefault="00543AC4" w:rsidP="002F561D">
            <w:r>
              <w:rPr>
                <w:lang w:val="es-ES" w:eastAsia="es-ES"/>
              </w:rPr>
              <w:t>33%</w:t>
            </w:r>
          </w:p>
        </w:tc>
        <w:tc>
          <w:tcPr>
            <w:tcW w:w="1021" w:type="dxa"/>
            <w:gridSpan w:val="2"/>
          </w:tcPr>
          <w:p w:rsidR="00543AC4" w:rsidRPr="001A26EA" w:rsidRDefault="00543AC4" w:rsidP="002F561D">
            <w:r>
              <w:rPr>
                <w:lang w:val="es-ES" w:eastAsia="es-ES"/>
              </w:rPr>
              <w:t>36%</w:t>
            </w:r>
          </w:p>
        </w:tc>
        <w:tc>
          <w:tcPr>
            <w:tcW w:w="886" w:type="dxa"/>
          </w:tcPr>
          <w:p w:rsidR="00543AC4" w:rsidRPr="001A26EA" w:rsidRDefault="00543AC4" w:rsidP="002F561D">
            <w:r>
              <w:rPr>
                <w:lang w:val="es-ES" w:eastAsia="es-ES"/>
              </w:rPr>
              <w:t>No aplica</w:t>
            </w:r>
          </w:p>
        </w:tc>
        <w:tc>
          <w:tcPr>
            <w:tcW w:w="886" w:type="dxa"/>
          </w:tcPr>
          <w:p w:rsidR="00543AC4" w:rsidRPr="001A26EA" w:rsidRDefault="00543AC4" w:rsidP="002F561D">
            <w:r>
              <w:rPr>
                <w:lang w:val="es-ES" w:eastAsia="es-ES"/>
              </w:rPr>
              <w:t>38%</w:t>
            </w:r>
          </w:p>
        </w:tc>
        <w:tc>
          <w:tcPr>
            <w:tcW w:w="886" w:type="dxa"/>
          </w:tcPr>
          <w:p w:rsidR="00543AC4" w:rsidRPr="001A26EA" w:rsidRDefault="00543AC4" w:rsidP="002F561D">
            <w:r>
              <w:rPr>
                <w:lang w:val="es-ES" w:eastAsia="es-ES"/>
              </w:rPr>
              <w:t>No aplica</w:t>
            </w:r>
          </w:p>
        </w:tc>
        <w:tc>
          <w:tcPr>
            <w:tcW w:w="1710" w:type="dxa"/>
          </w:tcPr>
          <w:p w:rsidR="00543AC4" w:rsidRPr="00BD26C5" w:rsidRDefault="00543AC4" w:rsidP="002F561D">
            <w:pPr>
              <w:rPr>
                <w:lang w:val="es-AR"/>
              </w:rPr>
            </w:pPr>
            <w:r>
              <w:rPr>
                <w:lang w:val="es-ES" w:eastAsia="es-ES"/>
              </w:rPr>
              <w:t>Encuestas globales del personal del UNFPA</w:t>
            </w:r>
          </w:p>
        </w:tc>
      </w:tr>
      <w:tr w:rsidR="00543AC4" w:rsidRPr="00600170" w:rsidTr="002F561D">
        <w:trPr>
          <w:trHeight w:val="900"/>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2.11: Porcentaje de dependencias que han logrado al menos un 90% de sus planes de alineación</w:t>
            </w:r>
          </w:p>
        </w:tc>
        <w:tc>
          <w:tcPr>
            <w:tcW w:w="1170" w:type="dxa"/>
            <w:gridSpan w:val="2"/>
          </w:tcPr>
          <w:p w:rsidR="00543AC4" w:rsidRPr="001A26EA" w:rsidRDefault="00543AC4" w:rsidP="002F561D">
            <w:r>
              <w:rPr>
                <w:lang w:val="es-ES" w:eastAsia="es-ES"/>
              </w:rPr>
              <w:t>No aplica</w:t>
            </w:r>
          </w:p>
        </w:tc>
        <w:tc>
          <w:tcPr>
            <w:tcW w:w="1021" w:type="dxa"/>
            <w:gridSpan w:val="2"/>
          </w:tcPr>
          <w:p w:rsidR="00543AC4" w:rsidRPr="001A26EA" w:rsidRDefault="00543AC4" w:rsidP="002F561D">
            <w:r>
              <w:rPr>
                <w:lang w:val="es-ES" w:eastAsia="es-ES"/>
              </w:rPr>
              <w:t>100%</w:t>
            </w:r>
          </w:p>
        </w:tc>
        <w:tc>
          <w:tcPr>
            <w:tcW w:w="886" w:type="dxa"/>
          </w:tcPr>
          <w:p w:rsidR="00543AC4" w:rsidRPr="001A26EA" w:rsidRDefault="00543AC4" w:rsidP="002F561D">
            <w:r>
              <w:rPr>
                <w:lang w:val="es-ES" w:eastAsia="es-ES"/>
              </w:rPr>
              <w:t>100%</w:t>
            </w:r>
          </w:p>
        </w:tc>
        <w:tc>
          <w:tcPr>
            <w:tcW w:w="886" w:type="dxa"/>
          </w:tcPr>
          <w:p w:rsidR="00543AC4" w:rsidRPr="001A26EA" w:rsidRDefault="00543AC4" w:rsidP="002F561D">
            <w:r>
              <w:rPr>
                <w:lang w:val="es-ES" w:eastAsia="es-ES"/>
              </w:rPr>
              <w:t>100%</w:t>
            </w:r>
          </w:p>
        </w:tc>
        <w:tc>
          <w:tcPr>
            <w:tcW w:w="886" w:type="dxa"/>
          </w:tcPr>
          <w:p w:rsidR="00543AC4" w:rsidRPr="001A26EA" w:rsidRDefault="00543AC4" w:rsidP="002F561D">
            <w:r>
              <w:rPr>
                <w:lang w:val="es-ES" w:eastAsia="es-ES"/>
              </w:rPr>
              <w:t>100%</w:t>
            </w:r>
          </w:p>
        </w:tc>
        <w:tc>
          <w:tcPr>
            <w:tcW w:w="1710" w:type="dxa"/>
          </w:tcPr>
          <w:p w:rsidR="00543AC4" w:rsidRPr="00BD26C5" w:rsidRDefault="00543AC4" w:rsidP="002F561D">
            <w:pPr>
              <w:rPr>
                <w:lang w:val="es-AR"/>
              </w:rPr>
            </w:pPr>
            <w:r>
              <w:rPr>
                <w:lang w:val="es-ES" w:eastAsia="es-ES"/>
              </w:rPr>
              <w:t>Informes anuales de las oficinas de  país, oficinas regionales y de la Sede</w:t>
            </w:r>
          </w:p>
        </w:tc>
      </w:tr>
      <w:tr w:rsidR="00543AC4" w:rsidTr="002F561D">
        <w:trPr>
          <w:trHeight w:val="197"/>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2.12: Porcentaje del total de recursos del programa que se gastó en el Resultado final 1</w:t>
            </w:r>
          </w:p>
        </w:tc>
        <w:tc>
          <w:tcPr>
            <w:tcW w:w="1170" w:type="dxa"/>
            <w:gridSpan w:val="2"/>
          </w:tcPr>
          <w:p w:rsidR="00543AC4" w:rsidRPr="001A26EA" w:rsidRDefault="00543AC4" w:rsidP="002F561D">
            <w:r>
              <w:rPr>
                <w:lang w:val="es-ES" w:eastAsia="es-ES"/>
              </w:rPr>
              <w:t>59%</w:t>
            </w:r>
          </w:p>
        </w:tc>
        <w:tc>
          <w:tcPr>
            <w:tcW w:w="1021" w:type="dxa"/>
            <w:gridSpan w:val="2"/>
          </w:tcPr>
          <w:p w:rsidR="00543AC4" w:rsidRPr="001A26EA" w:rsidRDefault="00543AC4" w:rsidP="002F561D">
            <w:r>
              <w:rPr>
                <w:lang w:val="es-ES" w:eastAsia="es-ES"/>
              </w:rPr>
              <w:t>63%</w:t>
            </w:r>
          </w:p>
        </w:tc>
        <w:tc>
          <w:tcPr>
            <w:tcW w:w="886" w:type="dxa"/>
          </w:tcPr>
          <w:p w:rsidR="00543AC4" w:rsidRPr="001A26EA" w:rsidRDefault="00543AC4" w:rsidP="002F561D">
            <w:r>
              <w:rPr>
                <w:lang w:val="es-ES" w:eastAsia="es-ES"/>
              </w:rPr>
              <w:t>65%</w:t>
            </w:r>
          </w:p>
        </w:tc>
        <w:tc>
          <w:tcPr>
            <w:tcW w:w="886" w:type="dxa"/>
          </w:tcPr>
          <w:p w:rsidR="00543AC4" w:rsidRPr="001A26EA" w:rsidRDefault="00543AC4" w:rsidP="002F561D">
            <w:r>
              <w:rPr>
                <w:lang w:val="es-ES" w:eastAsia="es-ES"/>
              </w:rPr>
              <w:t>68%</w:t>
            </w:r>
          </w:p>
        </w:tc>
        <w:tc>
          <w:tcPr>
            <w:tcW w:w="886" w:type="dxa"/>
          </w:tcPr>
          <w:p w:rsidR="00543AC4" w:rsidRPr="001A26EA" w:rsidRDefault="00543AC4" w:rsidP="002F561D">
            <w:r>
              <w:rPr>
                <w:lang w:val="es-ES" w:eastAsia="es-ES"/>
              </w:rPr>
              <w:t>70%</w:t>
            </w:r>
          </w:p>
        </w:tc>
        <w:tc>
          <w:tcPr>
            <w:tcW w:w="1710" w:type="dxa"/>
          </w:tcPr>
          <w:p w:rsidR="00543AC4" w:rsidRPr="001A26EA" w:rsidRDefault="00543AC4" w:rsidP="002F561D">
            <w:r>
              <w:rPr>
                <w:lang w:val="es-ES" w:eastAsia="es-ES"/>
              </w:rPr>
              <w:t>Atlas</w:t>
            </w:r>
          </w:p>
        </w:tc>
      </w:tr>
      <w:tr w:rsidR="00543AC4" w:rsidTr="002F561D">
        <w:trPr>
          <w:trHeight w:val="615"/>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2.13: Aumento del porcentaje en la participación del total de recursos que se gastó en la promoción/política</w:t>
            </w:r>
          </w:p>
        </w:tc>
        <w:tc>
          <w:tcPr>
            <w:tcW w:w="1170" w:type="dxa"/>
            <w:gridSpan w:val="2"/>
          </w:tcPr>
          <w:p w:rsidR="00543AC4" w:rsidRPr="001A26EA" w:rsidRDefault="00543AC4" w:rsidP="002F561D">
            <w:r>
              <w:rPr>
                <w:lang w:val="es-ES" w:eastAsia="es-ES"/>
              </w:rPr>
              <w:t>No aplica</w:t>
            </w:r>
          </w:p>
        </w:tc>
        <w:tc>
          <w:tcPr>
            <w:tcW w:w="1021" w:type="dxa"/>
            <w:gridSpan w:val="2"/>
          </w:tcPr>
          <w:p w:rsidR="00543AC4" w:rsidRPr="001A26EA" w:rsidRDefault="00543AC4" w:rsidP="002F561D">
            <w:r>
              <w:rPr>
                <w:lang w:val="es-ES" w:eastAsia="es-ES"/>
              </w:rPr>
              <w:t>No aplica</w:t>
            </w:r>
          </w:p>
        </w:tc>
        <w:tc>
          <w:tcPr>
            <w:tcW w:w="886" w:type="dxa"/>
          </w:tcPr>
          <w:p w:rsidR="00543AC4" w:rsidRPr="001A26EA" w:rsidRDefault="00543AC4" w:rsidP="002F561D">
            <w:r>
              <w:t>4</w:t>
            </w:r>
            <w:r w:rsidRPr="001A26EA">
              <w:t>%</w:t>
            </w:r>
          </w:p>
        </w:tc>
        <w:tc>
          <w:tcPr>
            <w:tcW w:w="886" w:type="dxa"/>
          </w:tcPr>
          <w:p w:rsidR="00543AC4" w:rsidRPr="001A26EA" w:rsidRDefault="00543AC4" w:rsidP="002F561D">
            <w:r>
              <w:t>4</w:t>
            </w:r>
            <w:r w:rsidRPr="001A26EA">
              <w:t>%</w:t>
            </w:r>
          </w:p>
        </w:tc>
        <w:tc>
          <w:tcPr>
            <w:tcW w:w="886" w:type="dxa"/>
          </w:tcPr>
          <w:p w:rsidR="00543AC4" w:rsidRPr="001A26EA" w:rsidRDefault="00543AC4" w:rsidP="002F561D">
            <w:r>
              <w:t>4</w:t>
            </w:r>
            <w:r w:rsidRPr="001A26EA">
              <w:t>%</w:t>
            </w:r>
          </w:p>
        </w:tc>
        <w:tc>
          <w:tcPr>
            <w:tcW w:w="1710" w:type="dxa"/>
          </w:tcPr>
          <w:p w:rsidR="00543AC4" w:rsidRPr="001A26EA" w:rsidRDefault="00543AC4" w:rsidP="002F561D">
            <w:r>
              <w:rPr>
                <w:lang w:val="es-ES" w:eastAsia="es-ES"/>
              </w:rPr>
              <w:t>Atlas</w:t>
            </w:r>
          </w:p>
        </w:tc>
      </w:tr>
      <w:tr w:rsidR="00543AC4" w:rsidRPr="00600170" w:rsidTr="002F561D">
        <w:trPr>
          <w:trHeight w:val="683"/>
        </w:trPr>
        <w:tc>
          <w:tcPr>
            <w:tcW w:w="1644" w:type="dxa"/>
            <w:gridSpan w:val="2"/>
            <w:vMerge/>
            <w:noWrap/>
          </w:tcPr>
          <w:p w:rsidR="00543AC4" w:rsidRPr="001A26EA" w:rsidRDefault="00543AC4" w:rsidP="002F561D"/>
        </w:tc>
        <w:tc>
          <w:tcPr>
            <w:tcW w:w="2478" w:type="dxa"/>
            <w:gridSpan w:val="3"/>
            <w:vMerge w:val="restart"/>
            <w:shd w:val="clear" w:color="auto" w:fill="F2F2F2"/>
          </w:tcPr>
          <w:p w:rsidR="00543AC4" w:rsidRPr="00BD26C5" w:rsidRDefault="00543AC4" w:rsidP="002F561D">
            <w:pPr>
              <w:rPr>
                <w:lang w:val="es-AR"/>
              </w:rPr>
            </w:pPr>
            <w:r>
              <w:rPr>
                <w:b/>
                <w:bCs/>
                <w:lang w:val="es-ES" w:eastAsia="es-ES"/>
              </w:rPr>
              <w:t xml:space="preserve">Producto 3: </w:t>
            </w:r>
            <w:r>
              <w:rPr>
                <w:lang w:val="es-ES" w:eastAsia="es-ES"/>
              </w:rPr>
              <w:t>Mayor capacidad de adaptación mediante la innovación, la sociedad y las comunicaciones</w:t>
            </w:r>
          </w:p>
        </w:tc>
        <w:tc>
          <w:tcPr>
            <w:tcW w:w="2999" w:type="dxa"/>
          </w:tcPr>
          <w:p w:rsidR="00543AC4" w:rsidRPr="00BD26C5" w:rsidRDefault="00543AC4" w:rsidP="002F561D">
            <w:pPr>
              <w:rPr>
                <w:lang w:val="es-AR"/>
              </w:rPr>
            </w:pPr>
            <w:r>
              <w:rPr>
                <w:lang w:val="es-ES" w:eastAsia="es-ES"/>
              </w:rPr>
              <w:t>3.1: Porcentaje de las oficinas en los países y regionales que informaron sobre la aplicación de planes de sociedad integrales</w:t>
            </w:r>
          </w:p>
        </w:tc>
        <w:tc>
          <w:tcPr>
            <w:tcW w:w="1170" w:type="dxa"/>
            <w:gridSpan w:val="2"/>
          </w:tcPr>
          <w:p w:rsidR="00543AC4" w:rsidRPr="001A26EA" w:rsidRDefault="00543AC4" w:rsidP="002F561D">
            <w:r>
              <w:rPr>
                <w:lang w:val="es-ES" w:eastAsia="es-ES"/>
              </w:rPr>
              <w:t>No aplica</w:t>
            </w:r>
          </w:p>
        </w:tc>
        <w:tc>
          <w:tcPr>
            <w:tcW w:w="1021" w:type="dxa"/>
            <w:gridSpan w:val="2"/>
          </w:tcPr>
          <w:p w:rsidR="00543AC4" w:rsidRPr="005C0549" w:rsidRDefault="00543AC4" w:rsidP="002F561D">
            <w:pPr>
              <w:rPr>
                <w:iCs/>
              </w:rPr>
            </w:pPr>
            <w:r>
              <w:rPr>
                <w:lang w:val="es-ES" w:eastAsia="es-ES"/>
              </w:rPr>
              <w:t>15%</w:t>
            </w:r>
          </w:p>
        </w:tc>
        <w:tc>
          <w:tcPr>
            <w:tcW w:w="886" w:type="dxa"/>
          </w:tcPr>
          <w:p w:rsidR="00543AC4" w:rsidRPr="005C0549" w:rsidRDefault="00543AC4" w:rsidP="002F561D">
            <w:pPr>
              <w:rPr>
                <w:iCs/>
              </w:rPr>
            </w:pPr>
            <w:r>
              <w:rPr>
                <w:lang w:val="es-ES" w:eastAsia="es-ES"/>
              </w:rPr>
              <w:t>50%</w:t>
            </w:r>
          </w:p>
        </w:tc>
        <w:tc>
          <w:tcPr>
            <w:tcW w:w="886" w:type="dxa"/>
          </w:tcPr>
          <w:p w:rsidR="00543AC4" w:rsidRPr="005C0549" w:rsidRDefault="00543AC4" w:rsidP="002F561D">
            <w:pPr>
              <w:rPr>
                <w:iCs/>
              </w:rPr>
            </w:pPr>
            <w:r>
              <w:rPr>
                <w:lang w:val="es-ES" w:eastAsia="es-ES"/>
              </w:rPr>
              <w:t>75%</w:t>
            </w:r>
          </w:p>
        </w:tc>
        <w:tc>
          <w:tcPr>
            <w:tcW w:w="886" w:type="dxa"/>
          </w:tcPr>
          <w:p w:rsidR="00543AC4" w:rsidRPr="005C0549" w:rsidRDefault="00543AC4" w:rsidP="002F561D">
            <w:pPr>
              <w:rPr>
                <w:iCs/>
              </w:rPr>
            </w:pPr>
            <w:r>
              <w:rPr>
                <w:lang w:val="es-ES" w:eastAsia="es-ES"/>
              </w:rPr>
              <w:t>95%</w:t>
            </w:r>
          </w:p>
        </w:tc>
        <w:tc>
          <w:tcPr>
            <w:tcW w:w="1710" w:type="dxa"/>
          </w:tcPr>
          <w:p w:rsidR="00543AC4" w:rsidRPr="00BD26C5" w:rsidRDefault="00543AC4" w:rsidP="002F561D">
            <w:pPr>
              <w:rPr>
                <w:lang w:val="es-AR"/>
              </w:rPr>
            </w:pPr>
            <w:r>
              <w:rPr>
                <w:lang w:val="es-ES" w:eastAsia="es-ES"/>
              </w:rPr>
              <w:t>Informes anuales de las oficinas de  país y regionales</w:t>
            </w:r>
          </w:p>
        </w:tc>
      </w:tr>
      <w:tr w:rsidR="00543AC4" w:rsidRPr="00600170" w:rsidTr="002F561D">
        <w:trPr>
          <w:trHeight w:val="404"/>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3.2: Número de las oficinas en los países que están aplicando Procedimientos Operativos Estándar (SOP, por sus siglas en inglés) o sus componentes</w:t>
            </w:r>
            <w:r>
              <w:rPr>
                <w:i/>
                <w:iCs/>
                <w:lang w:val="es-ES" w:eastAsia="es-ES"/>
              </w:rPr>
              <w:t xml:space="preserve"> (QCPR compartida)</w:t>
            </w:r>
          </w:p>
        </w:tc>
        <w:tc>
          <w:tcPr>
            <w:tcW w:w="1170" w:type="dxa"/>
            <w:gridSpan w:val="2"/>
          </w:tcPr>
          <w:p w:rsidR="00543AC4" w:rsidRPr="001A26EA" w:rsidRDefault="00543AC4" w:rsidP="002F561D">
            <w:r>
              <w:rPr>
                <w:lang w:val="es-ES" w:eastAsia="es-ES"/>
              </w:rPr>
              <w:t>No aplica</w:t>
            </w:r>
          </w:p>
        </w:tc>
        <w:tc>
          <w:tcPr>
            <w:tcW w:w="3679" w:type="dxa"/>
            <w:gridSpan w:val="5"/>
          </w:tcPr>
          <w:p w:rsidR="00543AC4" w:rsidRPr="00BD26C5" w:rsidRDefault="00543AC4" w:rsidP="002F561D">
            <w:pPr>
              <w:rPr>
                <w:lang w:val="es-AR"/>
              </w:rPr>
            </w:pPr>
            <w:r>
              <w:rPr>
                <w:lang w:val="es-ES" w:eastAsia="es-ES"/>
              </w:rPr>
              <w:t>Se determinará cuando se llegue a un acuerdo sobre un enfoque común en todos los fondos y programas</w:t>
            </w:r>
          </w:p>
        </w:tc>
        <w:tc>
          <w:tcPr>
            <w:tcW w:w="1710" w:type="dxa"/>
          </w:tcPr>
          <w:p w:rsidR="00543AC4" w:rsidRPr="00BD26C5" w:rsidRDefault="00543AC4" w:rsidP="002F561D">
            <w:pPr>
              <w:rPr>
                <w:lang w:val="es-AR"/>
              </w:rPr>
            </w:pPr>
            <w:r>
              <w:rPr>
                <w:lang w:val="es-ES" w:eastAsia="es-ES"/>
              </w:rPr>
              <w:t>Informes anuales de las oficinas de  país</w:t>
            </w:r>
          </w:p>
        </w:tc>
      </w:tr>
      <w:tr w:rsidR="00543AC4" w:rsidTr="002F561D">
        <w:trPr>
          <w:trHeight w:val="323"/>
        </w:trPr>
        <w:tc>
          <w:tcPr>
            <w:tcW w:w="1644" w:type="dxa"/>
            <w:gridSpan w:val="2"/>
            <w:vMerge/>
            <w:noWrap/>
          </w:tcPr>
          <w:p w:rsidR="00543AC4" w:rsidRPr="00BD26C5" w:rsidRDefault="00543AC4" w:rsidP="002F561D">
            <w:pPr>
              <w:rPr>
                <w:lang w:val="es-AR"/>
              </w:rPr>
            </w:pPr>
          </w:p>
        </w:tc>
        <w:tc>
          <w:tcPr>
            <w:tcW w:w="2478" w:type="dxa"/>
            <w:gridSpan w:val="3"/>
            <w:vMerge/>
            <w:shd w:val="clear" w:color="auto" w:fill="F2F2F2"/>
          </w:tcPr>
          <w:p w:rsidR="00543AC4" w:rsidRPr="00BD26C5" w:rsidRDefault="00543AC4" w:rsidP="002F561D">
            <w:pPr>
              <w:rPr>
                <w:lang w:val="es-AR"/>
              </w:rPr>
            </w:pPr>
          </w:p>
        </w:tc>
        <w:tc>
          <w:tcPr>
            <w:tcW w:w="2999" w:type="dxa"/>
          </w:tcPr>
          <w:p w:rsidR="00543AC4" w:rsidRPr="00BD26C5" w:rsidRDefault="00543AC4" w:rsidP="002F561D">
            <w:pPr>
              <w:rPr>
                <w:lang w:val="es-AR"/>
              </w:rPr>
            </w:pPr>
            <w:r>
              <w:rPr>
                <w:lang w:val="es-ES" w:eastAsia="es-ES"/>
              </w:rPr>
              <w:t xml:space="preserve">3.3: Aportes realizados en efectivo al sistema del coordinador </w:t>
            </w:r>
            <w:r>
              <w:rPr>
                <w:lang w:val="es-ES" w:eastAsia="es-ES"/>
              </w:rPr>
              <w:lastRenderedPageBreak/>
              <w:t>residente</w:t>
            </w:r>
            <w:r>
              <w:rPr>
                <w:i/>
                <w:iCs/>
                <w:lang w:val="es-ES" w:eastAsia="es-ES"/>
              </w:rPr>
              <w:t xml:space="preserve"> (QCPR compartida)</w:t>
            </w:r>
          </w:p>
        </w:tc>
        <w:tc>
          <w:tcPr>
            <w:tcW w:w="1170" w:type="dxa"/>
            <w:gridSpan w:val="2"/>
          </w:tcPr>
          <w:p w:rsidR="00543AC4" w:rsidRPr="000F7346" w:rsidRDefault="00543AC4" w:rsidP="002F561D">
            <w:pPr>
              <w:rPr>
                <w:iCs/>
              </w:rPr>
            </w:pPr>
            <w:r>
              <w:rPr>
                <w:lang w:val="es-ES" w:eastAsia="es-ES"/>
              </w:rPr>
              <w:lastRenderedPageBreak/>
              <w:t>No disponible</w:t>
            </w:r>
          </w:p>
        </w:tc>
        <w:tc>
          <w:tcPr>
            <w:tcW w:w="1021" w:type="dxa"/>
            <w:gridSpan w:val="2"/>
          </w:tcPr>
          <w:p w:rsidR="00543AC4" w:rsidRPr="00D918D2" w:rsidRDefault="00543AC4" w:rsidP="002F561D">
            <w:r>
              <w:rPr>
                <w:lang w:val="es-ES" w:eastAsia="es-ES"/>
              </w:rPr>
              <w:t>US$2,1 millones</w:t>
            </w:r>
          </w:p>
        </w:tc>
        <w:tc>
          <w:tcPr>
            <w:tcW w:w="886" w:type="dxa"/>
          </w:tcPr>
          <w:p w:rsidR="00543AC4" w:rsidRPr="00D918D2" w:rsidRDefault="00543AC4" w:rsidP="002F561D">
            <w:r>
              <w:rPr>
                <w:lang w:val="es-ES" w:eastAsia="es-ES"/>
              </w:rPr>
              <w:t>US$2,1 millones</w:t>
            </w:r>
          </w:p>
        </w:tc>
        <w:tc>
          <w:tcPr>
            <w:tcW w:w="886" w:type="dxa"/>
          </w:tcPr>
          <w:p w:rsidR="00543AC4" w:rsidRPr="00D918D2" w:rsidRDefault="00543AC4" w:rsidP="002F561D">
            <w:r>
              <w:rPr>
                <w:lang w:val="es-ES" w:eastAsia="es-ES"/>
              </w:rPr>
              <w:t>US$2,2 millones</w:t>
            </w:r>
          </w:p>
        </w:tc>
        <w:tc>
          <w:tcPr>
            <w:tcW w:w="886" w:type="dxa"/>
          </w:tcPr>
          <w:p w:rsidR="00543AC4" w:rsidRPr="00D918D2" w:rsidRDefault="00543AC4" w:rsidP="002F561D">
            <w:r>
              <w:rPr>
                <w:lang w:val="es-ES" w:eastAsia="es-ES"/>
              </w:rPr>
              <w:t>US$2,2 millones</w:t>
            </w:r>
          </w:p>
        </w:tc>
        <w:tc>
          <w:tcPr>
            <w:tcW w:w="1710" w:type="dxa"/>
          </w:tcPr>
          <w:p w:rsidR="00543AC4" w:rsidRPr="00223D5F" w:rsidRDefault="00543AC4" w:rsidP="002F561D">
            <w:r>
              <w:rPr>
                <w:sz w:val="22"/>
                <w:szCs w:val="22"/>
                <w:lang w:val="es-ES" w:eastAsia="es-ES"/>
              </w:rPr>
              <w:t>Atlas</w:t>
            </w:r>
          </w:p>
        </w:tc>
      </w:tr>
      <w:tr w:rsidR="00543AC4" w:rsidTr="002F561D">
        <w:trPr>
          <w:trHeight w:val="431"/>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3.4: Aportes realizados en especie al sistema del coordinador residente</w:t>
            </w:r>
            <w:r>
              <w:rPr>
                <w:i/>
                <w:iCs/>
                <w:lang w:val="es-ES" w:eastAsia="es-ES"/>
              </w:rPr>
              <w:t xml:space="preserve"> (QCPR compartida)</w:t>
            </w:r>
          </w:p>
        </w:tc>
        <w:tc>
          <w:tcPr>
            <w:tcW w:w="1170" w:type="dxa"/>
            <w:gridSpan w:val="2"/>
          </w:tcPr>
          <w:p w:rsidR="00543AC4" w:rsidRPr="001A26EA" w:rsidRDefault="00543AC4" w:rsidP="002F561D">
            <w:pPr>
              <w:rPr>
                <w:i/>
                <w:iCs/>
              </w:rPr>
            </w:pPr>
            <w:r>
              <w:rPr>
                <w:lang w:val="es-ES" w:eastAsia="es-ES"/>
              </w:rPr>
              <w:t>No aplica</w:t>
            </w:r>
          </w:p>
        </w:tc>
        <w:tc>
          <w:tcPr>
            <w:tcW w:w="3679" w:type="dxa"/>
            <w:gridSpan w:val="5"/>
          </w:tcPr>
          <w:p w:rsidR="00543AC4" w:rsidRPr="00BD26C5" w:rsidRDefault="00543AC4" w:rsidP="002F561D">
            <w:pPr>
              <w:rPr>
                <w:i/>
                <w:iCs/>
                <w:lang w:val="es-AR"/>
              </w:rPr>
            </w:pPr>
            <w:r>
              <w:rPr>
                <w:lang w:val="es-ES" w:eastAsia="es-ES"/>
              </w:rPr>
              <w:t>Se determinará cuando se llegue a un acuerdo sobre un enfoque común en todos los fondos y programas</w:t>
            </w:r>
          </w:p>
        </w:tc>
        <w:tc>
          <w:tcPr>
            <w:tcW w:w="1710" w:type="dxa"/>
          </w:tcPr>
          <w:p w:rsidR="00543AC4" w:rsidRPr="001A26EA" w:rsidRDefault="00543AC4" w:rsidP="002F561D">
            <w:r>
              <w:rPr>
                <w:lang w:val="es-ES" w:eastAsia="es-ES"/>
              </w:rPr>
              <w:t>Se determinará</w:t>
            </w:r>
          </w:p>
        </w:tc>
      </w:tr>
      <w:tr w:rsidR="00543AC4" w:rsidTr="002F561D">
        <w:trPr>
          <w:trHeight w:val="77"/>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3.5: Número de menciones del UNFPA en los medios</w:t>
            </w:r>
          </w:p>
        </w:tc>
        <w:tc>
          <w:tcPr>
            <w:tcW w:w="1170" w:type="dxa"/>
            <w:gridSpan w:val="2"/>
          </w:tcPr>
          <w:p w:rsidR="00543AC4" w:rsidRPr="001A26EA" w:rsidRDefault="00543AC4" w:rsidP="002F561D">
            <w:pPr>
              <w:rPr>
                <w:i/>
                <w:iCs/>
              </w:rPr>
            </w:pPr>
            <w:r>
              <w:t xml:space="preserve">3,000 </w:t>
            </w:r>
          </w:p>
        </w:tc>
        <w:tc>
          <w:tcPr>
            <w:tcW w:w="1021" w:type="dxa"/>
            <w:gridSpan w:val="2"/>
          </w:tcPr>
          <w:p w:rsidR="00543AC4" w:rsidRPr="000B7452" w:rsidRDefault="00543AC4" w:rsidP="002F561D">
            <w:r>
              <w:t xml:space="preserve">3,200 </w:t>
            </w:r>
          </w:p>
        </w:tc>
        <w:tc>
          <w:tcPr>
            <w:tcW w:w="886" w:type="dxa"/>
          </w:tcPr>
          <w:p w:rsidR="00543AC4" w:rsidRPr="000B7452" w:rsidRDefault="00543AC4" w:rsidP="002F561D">
            <w:r>
              <w:t>3,300</w:t>
            </w:r>
          </w:p>
        </w:tc>
        <w:tc>
          <w:tcPr>
            <w:tcW w:w="886" w:type="dxa"/>
          </w:tcPr>
          <w:p w:rsidR="00543AC4" w:rsidRPr="000B7452" w:rsidRDefault="00543AC4" w:rsidP="002F561D">
            <w:r>
              <w:t>3,400</w:t>
            </w:r>
          </w:p>
        </w:tc>
        <w:tc>
          <w:tcPr>
            <w:tcW w:w="886" w:type="dxa"/>
          </w:tcPr>
          <w:p w:rsidR="00543AC4" w:rsidRPr="000B7452" w:rsidRDefault="00543AC4" w:rsidP="002F561D">
            <w:r>
              <w:t>3,500</w:t>
            </w:r>
          </w:p>
        </w:tc>
        <w:tc>
          <w:tcPr>
            <w:tcW w:w="1710" w:type="dxa"/>
          </w:tcPr>
          <w:p w:rsidR="00543AC4" w:rsidRPr="001A26EA" w:rsidRDefault="00543AC4" w:rsidP="002F561D">
            <w:r>
              <w:rPr>
                <w:lang w:val="es-ES" w:eastAsia="es-ES"/>
              </w:rPr>
              <w:t>Lexis-Nexis</w:t>
            </w:r>
          </w:p>
        </w:tc>
      </w:tr>
      <w:tr w:rsidR="00543AC4" w:rsidTr="002F561D">
        <w:trPr>
          <w:trHeight w:val="64"/>
        </w:trPr>
        <w:tc>
          <w:tcPr>
            <w:tcW w:w="1644" w:type="dxa"/>
            <w:gridSpan w:val="2"/>
            <w:vMerge/>
            <w:noWrap/>
          </w:tcPr>
          <w:p w:rsidR="00543AC4" w:rsidRPr="001A26EA" w:rsidRDefault="00543AC4" w:rsidP="002F561D"/>
        </w:tc>
        <w:tc>
          <w:tcPr>
            <w:tcW w:w="2478" w:type="dxa"/>
            <w:gridSpan w:val="3"/>
            <w:vMerge/>
            <w:shd w:val="clear" w:color="auto" w:fill="F2F2F2"/>
          </w:tcPr>
          <w:p w:rsidR="00543AC4" w:rsidRPr="001A26EA" w:rsidRDefault="00543AC4" w:rsidP="002F561D"/>
        </w:tc>
        <w:tc>
          <w:tcPr>
            <w:tcW w:w="2999" w:type="dxa"/>
          </w:tcPr>
          <w:p w:rsidR="00543AC4" w:rsidRPr="00BD26C5" w:rsidRDefault="00543AC4" w:rsidP="002F561D">
            <w:pPr>
              <w:rPr>
                <w:lang w:val="es-AR"/>
              </w:rPr>
            </w:pPr>
            <w:r>
              <w:rPr>
                <w:lang w:val="es-ES" w:eastAsia="es-ES"/>
              </w:rPr>
              <w:t>3.6: Número de visitantes al sitio web del UNFPA y Número de seguidores en las redes sociales</w:t>
            </w:r>
          </w:p>
        </w:tc>
        <w:tc>
          <w:tcPr>
            <w:tcW w:w="1170" w:type="dxa"/>
            <w:gridSpan w:val="2"/>
            <w:tcMar>
              <w:left w:w="72" w:type="dxa"/>
              <w:right w:w="58" w:type="dxa"/>
            </w:tcMar>
          </w:tcPr>
          <w:p w:rsidR="00543AC4" w:rsidRPr="00BD26C5" w:rsidRDefault="00543AC4" w:rsidP="002F561D">
            <w:pPr>
              <w:rPr>
                <w:sz w:val="18"/>
                <w:lang w:val="es-AR"/>
              </w:rPr>
            </w:pPr>
            <w:r>
              <w:rPr>
                <w:sz w:val="18"/>
                <w:szCs w:val="18"/>
                <w:lang w:val="es-ES" w:eastAsia="es-ES"/>
              </w:rPr>
              <w:t xml:space="preserve">Sitio web: 1 millón de visitantes individuales; Twitter  17.000 seguidores; Facebook  18.500 </w:t>
            </w:r>
          </w:p>
          <w:p w:rsidR="00543AC4" w:rsidRPr="00A855D0" w:rsidRDefault="00543AC4" w:rsidP="002F561D">
            <w:pPr>
              <w:rPr>
                <w:sz w:val="18"/>
              </w:rPr>
            </w:pPr>
            <w:r>
              <w:rPr>
                <w:sz w:val="18"/>
                <w:szCs w:val="18"/>
                <w:lang w:val="es-ES" w:eastAsia="es-ES"/>
              </w:rPr>
              <w:t>seguidores</w:t>
            </w:r>
          </w:p>
        </w:tc>
        <w:tc>
          <w:tcPr>
            <w:tcW w:w="1021" w:type="dxa"/>
            <w:gridSpan w:val="2"/>
            <w:tcMar>
              <w:left w:w="72" w:type="dxa"/>
              <w:right w:w="58" w:type="dxa"/>
            </w:tcMar>
          </w:tcPr>
          <w:p w:rsidR="00543AC4" w:rsidRPr="00BD26C5" w:rsidRDefault="00543AC4" w:rsidP="002F561D">
            <w:pPr>
              <w:rPr>
                <w:sz w:val="18"/>
                <w:lang w:val="es-AR"/>
              </w:rPr>
            </w:pPr>
            <w:r>
              <w:rPr>
                <w:sz w:val="18"/>
                <w:szCs w:val="18"/>
                <w:lang w:val="es-ES" w:eastAsia="es-ES"/>
              </w:rPr>
              <w:t>Sitio web: 1,4 millones de visitantes individuales; Twitter  50.000 seguidores; Facebook  180.000 seguidores</w:t>
            </w:r>
          </w:p>
        </w:tc>
        <w:tc>
          <w:tcPr>
            <w:tcW w:w="886" w:type="dxa"/>
            <w:tcMar>
              <w:left w:w="72" w:type="dxa"/>
              <w:right w:w="58" w:type="dxa"/>
            </w:tcMar>
          </w:tcPr>
          <w:p w:rsidR="00543AC4" w:rsidRPr="00BD26C5" w:rsidRDefault="00543AC4" w:rsidP="002F561D">
            <w:pPr>
              <w:rPr>
                <w:sz w:val="18"/>
                <w:lang w:val="es-AR"/>
              </w:rPr>
            </w:pPr>
            <w:r>
              <w:rPr>
                <w:sz w:val="18"/>
                <w:szCs w:val="18"/>
                <w:lang w:val="es-ES" w:eastAsia="es-ES"/>
              </w:rPr>
              <w:t>Sitio web: 1,6 millones de visitantes individuales; Twitter  80.000 seguidores; Facebook  360.000 seguidores</w:t>
            </w:r>
          </w:p>
        </w:tc>
        <w:tc>
          <w:tcPr>
            <w:tcW w:w="886" w:type="dxa"/>
            <w:tcMar>
              <w:left w:w="72" w:type="dxa"/>
              <w:right w:w="58" w:type="dxa"/>
            </w:tcMar>
          </w:tcPr>
          <w:p w:rsidR="00543AC4" w:rsidRPr="00BD26C5" w:rsidRDefault="00543AC4" w:rsidP="002F561D">
            <w:pPr>
              <w:rPr>
                <w:sz w:val="18"/>
                <w:lang w:val="es-AR"/>
              </w:rPr>
            </w:pPr>
            <w:r>
              <w:rPr>
                <w:sz w:val="18"/>
                <w:szCs w:val="18"/>
                <w:lang w:val="es-ES" w:eastAsia="es-ES"/>
              </w:rPr>
              <w:t>Sitio web: 1,8 millones de visitantes individuales; Twitter  140.000 seguidores; Facebook  720.000 seguidores</w:t>
            </w:r>
          </w:p>
        </w:tc>
        <w:tc>
          <w:tcPr>
            <w:tcW w:w="886" w:type="dxa"/>
            <w:tcMar>
              <w:left w:w="72" w:type="dxa"/>
              <w:right w:w="58" w:type="dxa"/>
            </w:tcMar>
          </w:tcPr>
          <w:p w:rsidR="00543AC4" w:rsidRPr="00BD26C5" w:rsidRDefault="00543AC4" w:rsidP="002F561D">
            <w:pPr>
              <w:rPr>
                <w:sz w:val="18"/>
                <w:lang w:val="es-AR"/>
              </w:rPr>
            </w:pPr>
            <w:r>
              <w:rPr>
                <w:sz w:val="18"/>
                <w:szCs w:val="18"/>
                <w:lang w:val="es-ES" w:eastAsia="es-ES"/>
              </w:rPr>
              <w:t>Sitio web: 2 millones de visitantes individuales; Twitter  260.000 seguidores; Facebook  1.420.000 seguidores</w:t>
            </w:r>
          </w:p>
          <w:p w:rsidR="00543AC4" w:rsidRPr="00BD26C5" w:rsidRDefault="00543AC4" w:rsidP="002F561D">
            <w:pPr>
              <w:rPr>
                <w:sz w:val="18"/>
                <w:lang w:val="es-AR"/>
              </w:rPr>
            </w:pPr>
          </w:p>
        </w:tc>
        <w:tc>
          <w:tcPr>
            <w:tcW w:w="1710" w:type="dxa"/>
          </w:tcPr>
          <w:p w:rsidR="00543AC4" w:rsidRPr="00D918D2" w:rsidRDefault="00543AC4" w:rsidP="002F561D">
            <w:r>
              <w:rPr>
                <w:lang w:val="es-ES" w:eastAsia="es-ES"/>
              </w:rPr>
              <w:t>Google Analytics, Twitter y Facebook</w:t>
            </w:r>
          </w:p>
          <w:p w:rsidR="00543AC4" w:rsidRDefault="00543AC4" w:rsidP="002F561D"/>
        </w:tc>
      </w:tr>
    </w:tbl>
    <w:p w:rsidR="00543AC4" w:rsidRDefault="00543AC4" w:rsidP="002F561D">
      <w:pPr>
        <w:ind w:left="1080" w:right="720"/>
        <w:jc w:val="both"/>
      </w:pPr>
    </w:p>
    <w:p w:rsidR="00543AC4" w:rsidRDefault="00543AC4"/>
    <w:p w:rsidR="00543AC4" w:rsidRDefault="00543AC4"/>
    <w:sectPr w:rsidR="00543AC4" w:rsidSect="002F561D">
      <w:pgSz w:w="15840" w:h="12240" w:orient="landscape"/>
      <w:pgMar w:top="1440" w:right="172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8A" w:rsidRDefault="00DA238A">
      <w:r>
        <w:separator/>
      </w:r>
    </w:p>
  </w:endnote>
  <w:endnote w:type="continuationSeparator" w:id="0">
    <w:p w:rsidR="00DA238A" w:rsidRDefault="00DA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C4" w:rsidRDefault="00543AC4" w:rsidP="002F561D">
    <w:pPr>
      <w:pStyle w:val="Footer"/>
      <w:rPr>
        <w:rStyle w:val="PageNumber"/>
        <w:b/>
        <w:bCs/>
        <w:sz w:val="18"/>
      </w:rPr>
    </w:pPr>
    <w:r>
      <w:rPr>
        <w:rStyle w:val="PageNumber"/>
        <w:bCs/>
        <w:sz w:val="18"/>
      </w:rPr>
      <w:fldChar w:fldCharType="begin"/>
    </w:r>
    <w:r>
      <w:rPr>
        <w:rStyle w:val="PageNumber"/>
        <w:bCs/>
        <w:sz w:val="18"/>
      </w:rPr>
      <w:instrText xml:space="preserve">PAGE  </w:instrText>
    </w:r>
    <w:r>
      <w:rPr>
        <w:rStyle w:val="PageNumber"/>
        <w:bCs/>
        <w:sz w:val="18"/>
      </w:rPr>
      <w:fldChar w:fldCharType="separate"/>
    </w:r>
    <w:r w:rsidR="00A22828">
      <w:rPr>
        <w:rStyle w:val="PageNumber"/>
        <w:bCs/>
        <w:noProof/>
        <w:sz w:val="18"/>
      </w:rPr>
      <w:t>22</w:t>
    </w:r>
    <w:r>
      <w:rPr>
        <w:rStyle w:val="PageNumber"/>
        <w:bCs/>
        <w:sz w:val="18"/>
      </w:rPr>
      <w:fldChar w:fldCharType="end"/>
    </w:r>
  </w:p>
  <w:p w:rsidR="00543AC4" w:rsidRDefault="0054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C4" w:rsidRDefault="00DA238A">
    <w:pPr>
      <w:pStyle w:val="Footer"/>
      <w:jc w:val="right"/>
    </w:pPr>
    <w:r>
      <w:fldChar w:fldCharType="begin"/>
    </w:r>
    <w:r>
      <w:instrText xml:space="preserve"> PAGE   \* MERGEFORMAT </w:instrText>
    </w:r>
    <w:r>
      <w:fldChar w:fldCharType="separate"/>
    </w:r>
    <w:r w:rsidR="00A22828">
      <w:rPr>
        <w:noProof/>
      </w:rPr>
      <w:t>21</w:t>
    </w:r>
    <w:r>
      <w:rPr>
        <w:noProof/>
      </w:rPr>
      <w:fldChar w:fldCharType="end"/>
    </w:r>
  </w:p>
  <w:p w:rsidR="00543AC4" w:rsidRDefault="00543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8A" w:rsidRDefault="00DA238A">
      <w:r>
        <w:separator/>
      </w:r>
    </w:p>
  </w:footnote>
  <w:footnote w:type="continuationSeparator" w:id="0">
    <w:p w:rsidR="00DA238A" w:rsidRDefault="00DA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C4" w:rsidRPr="009703FE" w:rsidRDefault="00543AC4" w:rsidP="002F561D">
    <w:pPr>
      <w:pStyle w:val="Header"/>
      <w:tabs>
        <w:tab w:val="clear" w:pos="4320"/>
        <w:tab w:val="clear" w:pos="8640"/>
        <w:tab w:val="left" w:pos="1008"/>
        <w:tab w:val="left" w:pos="7200"/>
      </w:tabs>
      <w:spacing w:line="360" w:lineRule="auto"/>
      <w:ind w:left="-90" w:right="-90"/>
      <w:rPr>
        <w:b/>
        <w:bCs/>
        <w:sz w:val="18"/>
      </w:rPr>
    </w:pPr>
    <w:r>
      <w:rPr>
        <w:b/>
        <w:bCs/>
        <w:sz w:val="18"/>
        <w:szCs w:val="18"/>
        <w:lang w:val="es-ES" w:eastAsia="es-ES"/>
      </w:rPr>
      <w:t>Anexo 1</w:t>
    </w:r>
  </w:p>
  <w:p w:rsidR="00543AC4" w:rsidRDefault="00A22828" w:rsidP="002F561D">
    <w:pPr>
      <w:pStyle w:val="Header"/>
      <w:tabs>
        <w:tab w:val="clear" w:pos="4320"/>
        <w:tab w:val="clear" w:pos="8640"/>
        <w:tab w:val="left" w:pos="720"/>
      </w:tabs>
      <w:spacing w:line="360" w:lineRule="auto"/>
      <w:jc w:val="both"/>
      <w:rPr>
        <w:b/>
        <w:bCs/>
        <w:sz w:val="18"/>
        <w:lang w:val="fr-FR"/>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-62865</wp:posOffset>
              </wp:positionH>
              <wp:positionV relativeFrom="paragraph">
                <wp:posOffset>34289</wp:posOffset>
              </wp:positionV>
              <wp:extent cx="60579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Xg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p+HGWgmn0epaQ4hporPOfue5QmJRYguZITA5r50E6QK+QcI/SKyFl&#10;NFsq1Jd4Nh6NY4DTUrBwGGDO7raVtOhAQrvEL9QByO5gVu8Vi2QtJ2x5mXsi5HkOeKkCH6QCci6z&#10;cz98n6Wz5XQ5zQf5aLIc5GldDz6tqnwwWWWP4/qhrqo6+xGkZXnRCsa4CuquvZnlf+f95ZWcu+rW&#10;nbcyJPfsMUUQe/1H0dHLYN+5EbaanTY2VCPYCu0YwZenE/r993VE/Xrgi58AAAD//wMAUEsDBBQA&#10;BgAIAAAAIQBZJCMt2gAAAAYBAAAPAAAAZHJzL2Rvd25yZXYueG1sTI7BTsMwEETvSPyDtUhcqtZp&#10;CYiEOBUCcuNCAXHdxksSEa/T2G0DX8/CBY6jGb15xXpyvTrQGDrPBpaLBBRx7W3HjYGX52p+DSpE&#10;ZIu9ZzLwSQHW5elJgbn1R36iwyY2SiAccjTQxjjkWoe6JYdh4Qdi6d796DBKHBttRzwK3PV6lSRX&#10;2mHH8tDiQHct1R+bvTMQqlfaVV+zepa8XTSeVrv7xwc05vxsur0BFWmKf2P40Rd1KMVp6/dsg+oN&#10;zLNMlgYuU1BSZ2m6BLX9zbos9H/98hsAAP//AwBQSwECLQAUAAYACAAAACEAtoM4kv4AAADhAQAA&#10;EwAAAAAAAAAAAAAAAAAAAAAAW0NvbnRlbnRfVHlwZXNdLnhtbFBLAQItABQABgAIAAAAIQA4/SH/&#10;1gAAAJQBAAALAAAAAAAAAAAAAAAAAC8BAABfcmVscy8ucmVsc1BLAQItABQABgAIAAAAIQDOm7Xg&#10;FAIAACgEAAAOAAAAAAAAAAAAAAAAAC4CAABkcnMvZTJvRG9jLnhtbFBLAQItABQABgAIAAAAIQBZ&#10;JCMt2gAAAAYBAAAPAAAAAAAAAAAAAAAAAG4EAABkcnMvZG93bnJldi54bWxQSwUGAAAAAAQABADz&#10;AAAAdQUAAAAA&#10;"/>
          </w:pict>
        </mc:Fallback>
      </mc:AlternateContent>
    </w:r>
  </w:p>
  <w:p w:rsidR="00543AC4" w:rsidRDefault="0054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C4" w:rsidRPr="009703FE" w:rsidRDefault="00543AC4" w:rsidP="002F561D">
    <w:pPr>
      <w:pStyle w:val="Header"/>
      <w:tabs>
        <w:tab w:val="clear" w:pos="4320"/>
        <w:tab w:val="clear" w:pos="8640"/>
        <w:tab w:val="left" w:pos="1008"/>
        <w:tab w:val="left" w:pos="7200"/>
      </w:tabs>
      <w:spacing w:line="360" w:lineRule="auto"/>
      <w:ind w:right="90"/>
      <w:jc w:val="right"/>
      <w:rPr>
        <w:b/>
        <w:bCs/>
        <w:sz w:val="18"/>
      </w:rPr>
    </w:pPr>
    <w:r>
      <w:rPr>
        <w:b/>
        <w:bCs/>
        <w:sz w:val="18"/>
        <w:szCs w:val="18"/>
        <w:lang w:val="es-ES" w:eastAsia="es-ES"/>
      </w:rPr>
      <w:t>Anexo 1</w:t>
    </w:r>
  </w:p>
  <w:p w:rsidR="00543AC4" w:rsidRDefault="00A22828" w:rsidP="002F561D">
    <w:pPr>
      <w:pStyle w:val="Header"/>
      <w:tabs>
        <w:tab w:val="clear" w:pos="4320"/>
        <w:tab w:val="clear" w:pos="8640"/>
        <w:tab w:val="left" w:pos="864"/>
      </w:tabs>
      <w:spacing w:line="360" w:lineRule="auto"/>
      <w:rPr>
        <w:lang w:val="fr-FR"/>
      </w:rPr>
    </w:pPr>
    <w:r>
      <w:rPr>
        <w:noProof/>
        <w:lang w:val="en-US"/>
      </w:rPr>
      <mc:AlternateContent>
        <mc:Choice Requires="wps">
          <w:drawing>
            <wp:anchor distT="4294967294" distB="4294967294" distL="114300" distR="114300" simplePos="0" relativeHeight="251662336" behindDoc="0" locked="0" layoutInCell="1" allowOverlap="1">
              <wp:simplePos x="0" y="0"/>
              <wp:positionH relativeFrom="column">
                <wp:posOffset>-62865</wp:posOffset>
              </wp:positionH>
              <wp:positionV relativeFrom="paragraph">
                <wp:posOffset>34289</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lRyH&#10;9doAAAAGAQAADwAAAAAAAAAAAAAAAABsBAAAZHJzL2Rvd25yZXYueG1sUEsFBgAAAAAEAAQA8wAA&#10;AHMFAAAAAA==&#10;"/>
          </w:pict>
        </mc:Fallback>
      </mc:AlternateContent>
    </w:r>
  </w:p>
  <w:p w:rsidR="00543AC4" w:rsidRDefault="0054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AE"/>
    <w:multiLevelType w:val="hybridMultilevel"/>
    <w:tmpl w:val="C0C00070"/>
    <w:lvl w:ilvl="0" w:tplc="5E1004A0">
      <w:start w:val="1"/>
      <w:numFmt w:val="bullet"/>
      <w:lvlText w:val=""/>
      <w:lvlJc w:val="left"/>
      <w:pPr>
        <w:ind w:left="1800" w:hanging="360"/>
      </w:pPr>
      <w:rPr>
        <w:rFonts w:ascii="Symbol" w:hAnsi="Symbol" w:hint="default"/>
      </w:rPr>
    </w:lvl>
    <w:lvl w:ilvl="1" w:tplc="DF6000A2">
      <w:start w:val="1"/>
      <w:numFmt w:val="bullet"/>
      <w:lvlText w:val="o"/>
      <w:lvlJc w:val="left"/>
      <w:pPr>
        <w:ind w:left="2520" w:hanging="360"/>
      </w:pPr>
      <w:rPr>
        <w:rFonts w:ascii="Courier New" w:hAnsi="Courier New" w:hint="default"/>
      </w:rPr>
    </w:lvl>
    <w:lvl w:ilvl="2" w:tplc="B3A656D6" w:tentative="1">
      <w:start w:val="1"/>
      <w:numFmt w:val="bullet"/>
      <w:lvlText w:val=""/>
      <w:lvlJc w:val="left"/>
      <w:pPr>
        <w:ind w:left="3240" w:hanging="360"/>
      </w:pPr>
      <w:rPr>
        <w:rFonts w:ascii="Wingdings" w:hAnsi="Wingdings" w:hint="default"/>
      </w:rPr>
    </w:lvl>
    <w:lvl w:ilvl="3" w:tplc="C92C320C" w:tentative="1">
      <w:start w:val="1"/>
      <w:numFmt w:val="bullet"/>
      <w:lvlText w:val=""/>
      <w:lvlJc w:val="left"/>
      <w:pPr>
        <w:ind w:left="3960" w:hanging="360"/>
      </w:pPr>
      <w:rPr>
        <w:rFonts w:ascii="Symbol" w:hAnsi="Symbol" w:hint="default"/>
      </w:rPr>
    </w:lvl>
    <w:lvl w:ilvl="4" w:tplc="6D96AD4C" w:tentative="1">
      <w:start w:val="1"/>
      <w:numFmt w:val="bullet"/>
      <w:lvlText w:val="o"/>
      <w:lvlJc w:val="left"/>
      <w:pPr>
        <w:ind w:left="4680" w:hanging="360"/>
      </w:pPr>
      <w:rPr>
        <w:rFonts w:ascii="Courier New" w:hAnsi="Courier New" w:hint="default"/>
      </w:rPr>
    </w:lvl>
    <w:lvl w:ilvl="5" w:tplc="D0865F22" w:tentative="1">
      <w:start w:val="1"/>
      <w:numFmt w:val="bullet"/>
      <w:lvlText w:val=""/>
      <w:lvlJc w:val="left"/>
      <w:pPr>
        <w:ind w:left="5400" w:hanging="360"/>
      </w:pPr>
      <w:rPr>
        <w:rFonts w:ascii="Wingdings" w:hAnsi="Wingdings" w:hint="default"/>
      </w:rPr>
    </w:lvl>
    <w:lvl w:ilvl="6" w:tplc="EEE422CC" w:tentative="1">
      <w:start w:val="1"/>
      <w:numFmt w:val="bullet"/>
      <w:lvlText w:val=""/>
      <w:lvlJc w:val="left"/>
      <w:pPr>
        <w:ind w:left="6120" w:hanging="360"/>
      </w:pPr>
      <w:rPr>
        <w:rFonts w:ascii="Symbol" w:hAnsi="Symbol" w:hint="default"/>
      </w:rPr>
    </w:lvl>
    <w:lvl w:ilvl="7" w:tplc="50AEBD30" w:tentative="1">
      <w:start w:val="1"/>
      <w:numFmt w:val="bullet"/>
      <w:lvlText w:val="o"/>
      <w:lvlJc w:val="left"/>
      <w:pPr>
        <w:ind w:left="6840" w:hanging="360"/>
      </w:pPr>
      <w:rPr>
        <w:rFonts w:ascii="Courier New" w:hAnsi="Courier New" w:hint="default"/>
      </w:rPr>
    </w:lvl>
    <w:lvl w:ilvl="8" w:tplc="68726AAE" w:tentative="1">
      <w:start w:val="1"/>
      <w:numFmt w:val="bullet"/>
      <w:lvlText w:val=""/>
      <w:lvlJc w:val="left"/>
      <w:pPr>
        <w:ind w:left="7560" w:hanging="360"/>
      </w:pPr>
      <w:rPr>
        <w:rFonts w:ascii="Wingdings" w:hAnsi="Wingdings" w:hint="default"/>
      </w:rPr>
    </w:lvl>
  </w:abstractNum>
  <w:abstractNum w:abstractNumId="1">
    <w:nsid w:val="0EAD36E6"/>
    <w:multiLevelType w:val="hybridMultilevel"/>
    <w:tmpl w:val="A8EAC28C"/>
    <w:lvl w:ilvl="0" w:tplc="1E8058E0">
      <w:start w:val="1"/>
      <w:numFmt w:val="bullet"/>
      <w:lvlText w:val=""/>
      <w:lvlJc w:val="left"/>
      <w:pPr>
        <w:ind w:left="1890" w:hanging="360"/>
      </w:pPr>
      <w:rPr>
        <w:rFonts w:ascii="Symbol" w:hAnsi="Symbol" w:hint="default"/>
      </w:rPr>
    </w:lvl>
    <w:lvl w:ilvl="1" w:tplc="EC7C13AE">
      <w:start w:val="1"/>
      <w:numFmt w:val="lowerLetter"/>
      <w:lvlText w:val="%2."/>
      <w:lvlJc w:val="left"/>
      <w:pPr>
        <w:ind w:left="2520" w:hanging="360"/>
      </w:pPr>
      <w:rPr>
        <w:rFonts w:cs="Times New Roman"/>
      </w:rPr>
    </w:lvl>
    <w:lvl w:ilvl="2" w:tplc="6946FF18" w:tentative="1">
      <w:start w:val="1"/>
      <w:numFmt w:val="lowerRoman"/>
      <w:lvlText w:val="%3."/>
      <w:lvlJc w:val="right"/>
      <w:pPr>
        <w:ind w:left="3240" w:hanging="180"/>
      </w:pPr>
      <w:rPr>
        <w:rFonts w:cs="Times New Roman"/>
      </w:rPr>
    </w:lvl>
    <w:lvl w:ilvl="3" w:tplc="BF909EA6" w:tentative="1">
      <w:start w:val="1"/>
      <w:numFmt w:val="decimal"/>
      <w:lvlText w:val="%4."/>
      <w:lvlJc w:val="left"/>
      <w:pPr>
        <w:ind w:left="3960" w:hanging="360"/>
      </w:pPr>
      <w:rPr>
        <w:rFonts w:cs="Times New Roman"/>
      </w:rPr>
    </w:lvl>
    <w:lvl w:ilvl="4" w:tplc="C43E0E70" w:tentative="1">
      <w:start w:val="1"/>
      <w:numFmt w:val="lowerLetter"/>
      <w:lvlText w:val="%5."/>
      <w:lvlJc w:val="left"/>
      <w:pPr>
        <w:ind w:left="4680" w:hanging="360"/>
      </w:pPr>
      <w:rPr>
        <w:rFonts w:cs="Times New Roman"/>
      </w:rPr>
    </w:lvl>
    <w:lvl w:ilvl="5" w:tplc="36966668" w:tentative="1">
      <w:start w:val="1"/>
      <w:numFmt w:val="lowerRoman"/>
      <w:lvlText w:val="%6."/>
      <w:lvlJc w:val="right"/>
      <w:pPr>
        <w:ind w:left="5400" w:hanging="180"/>
      </w:pPr>
      <w:rPr>
        <w:rFonts w:cs="Times New Roman"/>
      </w:rPr>
    </w:lvl>
    <w:lvl w:ilvl="6" w:tplc="03CE328A" w:tentative="1">
      <w:start w:val="1"/>
      <w:numFmt w:val="decimal"/>
      <w:lvlText w:val="%7."/>
      <w:lvlJc w:val="left"/>
      <w:pPr>
        <w:ind w:left="6120" w:hanging="360"/>
      </w:pPr>
      <w:rPr>
        <w:rFonts w:cs="Times New Roman"/>
      </w:rPr>
    </w:lvl>
    <w:lvl w:ilvl="7" w:tplc="3FFADEC4" w:tentative="1">
      <w:start w:val="1"/>
      <w:numFmt w:val="lowerLetter"/>
      <w:lvlText w:val="%8."/>
      <w:lvlJc w:val="left"/>
      <w:pPr>
        <w:ind w:left="6840" w:hanging="360"/>
      </w:pPr>
      <w:rPr>
        <w:rFonts w:cs="Times New Roman"/>
      </w:rPr>
    </w:lvl>
    <w:lvl w:ilvl="8" w:tplc="92E61948" w:tentative="1">
      <w:start w:val="1"/>
      <w:numFmt w:val="lowerRoman"/>
      <w:lvlText w:val="%9."/>
      <w:lvlJc w:val="right"/>
      <w:pPr>
        <w:ind w:left="7560" w:hanging="180"/>
      </w:pPr>
      <w:rPr>
        <w:rFonts w:cs="Times New Roman"/>
      </w:rPr>
    </w:lvl>
  </w:abstractNum>
  <w:abstractNum w:abstractNumId="2">
    <w:nsid w:val="102475CE"/>
    <w:multiLevelType w:val="hybridMultilevel"/>
    <w:tmpl w:val="8244D89E"/>
    <w:lvl w:ilvl="0" w:tplc="1C7282AA">
      <w:start w:val="1"/>
      <w:numFmt w:val="decimal"/>
      <w:lvlText w:val="%1."/>
      <w:lvlJc w:val="left"/>
      <w:pPr>
        <w:ind w:left="1800" w:hanging="360"/>
      </w:pPr>
      <w:rPr>
        <w:rFonts w:cs="Times New Roman"/>
      </w:rPr>
    </w:lvl>
    <w:lvl w:ilvl="1" w:tplc="2DB84F48" w:tentative="1">
      <w:start w:val="1"/>
      <w:numFmt w:val="lowerLetter"/>
      <w:lvlText w:val="%2."/>
      <w:lvlJc w:val="left"/>
      <w:pPr>
        <w:ind w:left="2520" w:hanging="360"/>
      </w:pPr>
      <w:rPr>
        <w:rFonts w:cs="Times New Roman"/>
      </w:rPr>
    </w:lvl>
    <w:lvl w:ilvl="2" w:tplc="EAB017C6" w:tentative="1">
      <w:start w:val="1"/>
      <w:numFmt w:val="lowerRoman"/>
      <w:lvlText w:val="%3."/>
      <w:lvlJc w:val="right"/>
      <w:pPr>
        <w:ind w:left="3240" w:hanging="180"/>
      </w:pPr>
      <w:rPr>
        <w:rFonts w:cs="Times New Roman"/>
      </w:rPr>
    </w:lvl>
    <w:lvl w:ilvl="3" w:tplc="7102FCCA" w:tentative="1">
      <w:start w:val="1"/>
      <w:numFmt w:val="decimal"/>
      <w:lvlText w:val="%4."/>
      <w:lvlJc w:val="left"/>
      <w:pPr>
        <w:ind w:left="3960" w:hanging="360"/>
      </w:pPr>
      <w:rPr>
        <w:rFonts w:cs="Times New Roman"/>
      </w:rPr>
    </w:lvl>
    <w:lvl w:ilvl="4" w:tplc="835C092C" w:tentative="1">
      <w:start w:val="1"/>
      <w:numFmt w:val="lowerLetter"/>
      <w:lvlText w:val="%5."/>
      <w:lvlJc w:val="left"/>
      <w:pPr>
        <w:ind w:left="4680" w:hanging="360"/>
      </w:pPr>
      <w:rPr>
        <w:rFonts w:cs="Times New Roman"/>
      </w:rPr>
    </w:lvl>
    <w:lvl w:ilvl="5" w:tplc="584E1DB0" w:tentative="1">
      <w:start w:val="1"/>
      <w:numFmt w:val="lowerRoman"/>
      <w:lvlText w:val="%6."/>
      <w:lvlJc w:val="right"/>
      <w:pPr>
        <w:ind w:left="5400" w:hanging="180"/>
      </w:pPr>
      <w:rPr>
        <w:rFonts w:cs="Times New Roman"/>
      </w:rPr>
    </w:lvl>
    <w:lvl w:ilvl="6" w:tplc="31F295FC" w:tentative="1">
      <w:start w:val="1"/>
      <w:numFmt w:val="decimal"/>
      <w:lvlText w:val="%7."/>
      <w:lvlJc w:val="left"/>
      <w:pPr>
        <w:ind w:left="6120" w:hanging="360"/>
      </w:pPr>
      <w:rPr>
        <w:rFonts w:cs="Times New Roman"/>
      </w:rPr>
    </w:lvl>
    <w:lvl w:ilvl="7" w:tplc="6B68DF76" w:tentative="1">
      <w:start w:val="1"/>
      <w:numFmt w:val="lowerLetter"/>
      <w:lvlText w:val="%8."/>
      <w:lvlJc w:val="left"/>
      <w:pPr>
        <w:ind w:left="6840" w:hanging="360"/>
      </w:pPr>
      <w:rPr>
        <w:rFonts w:cs="Times New Roman"/>
      </w:rPr>
    </w:lvl>
    <w:lvl w:ilvl="8" w:tplc="69BA73DA" w:tentative="1">
      <w:start w:val="1"/>
      <w:numFmt w:val="lowerRoman"/>
      <w:lvlText w:val="%9."/>
      <w:lvlJc w:val="right"/>
      <w:pPr>
        <w:ind w:left="7560" w:hanging="180"/>
      </w:pPr>
      <w:rPr>
        <w:rFonts w:cs="Times New Roman"/>
      </w:rPr>
    </w:lvl>
  </w:abstractNum>
  <w:abstractNum w:abstractNumId="3">
    <w:nsid w:val="18035201"/>
    <w:multiLevelType w:val="hybridMultilevel"/>
    <w:tmpl w:val="7792C26E"/>
    <w:lvl w:ilvl="0" w:tplc="3E62A6F0">
      <w:start w:val="1"/>
      <w:numFmt w:val="bullet"/>
      <w:lvlText w:val=""/>
      <w:lvlJc w:val="left"/>
      <w:pPr>
        <w:ind w:left="1800" w:hanging="360"/>
      </w:pPr>
      <w:rPr>
        <w:rFonts w:ascii="Symbol" w:hAnsi="Symbol" w:hint="default"/>
      </w:rPr>
    </w:lvl>
    <w:lvl w:ilvl="1" w:tplc="F2EC07EE" w:tentative="1">
      <w:start w:val="1"/>
      <w:numFmt w:val="bullet"/>
      <w:lvlText w:val="o"/>
      <w:lvlJc w:val="left"/>
      <w:pPr>
        <w:ind w:left="2520" w:hanging="360"/>
      </w:pPr>
      <w:rPr>
        <w:rFonts w:ascii="Courier New" w:hAnsi="Courier New" w:hint="default"/>
      </w:rPr>
    </w:lvl>
    <w:lvl w:ilvl="2" w:tplc="AC002C82" w:tentative="1">
      <w:start w:val="1"/>
      <w:numFmt w:val="bullet"/>
      <w:lvlText w:val=""/>
      <w:lvlJc w:val="left"/>
      <w:pPr>
        <w:ind w:left="3240" w:hanging="360"/>
      </w:pPr>
      <w:rPr>
        <w:rFonts w:ascii="Wingdings" w:hAnsi="Wingdings" w:hint="default"/>
      </w:rPr>
    </w:lvl>
    <w:lvl w:ilvl="3" w:tplc="EE840408" w:tentative="1">
      <w:start w:val="1"/>
      <w:numFmt w:val="bullet"/>
      <w:lvlText w:val=""/>
      <w:lvlJc w:val="left"/>
      <w:pPr>
        <w:ind w:left="3960" w:hanging="360"/>
      </w:pPr>
      <w:rPr>
        <w:rFonts w:ascii="Symbol" w:hAnsi="Symbol" w:hint="default"/>
      </w:rPr>
    </w:lvl>
    <w:lvl w:ilvl="4" w:tplc="FD266270" w:tentative="1">
      <w:start w:val="1"/>
      <w:numFmt w:val="bullet"/>
      <w:lvlText w:val="o"/>
      <w:lvlJc w:val="left"/>
      <w:pPr>
        <w:ind w:left="4680" w:hanging="360"/>
      </w:pPr>
      <w:rPr>
        <w:rFonts w:ascii="Courier New" w:hAnsi="Courier New" w:hint="default"/>
      </w:rPr>
    </w:lvl>
    <w:lvl w:ilvl="5" w:tplc="ECBC72B2" w:tentative="1">
      <w:start w:val="1"/>
      <w:numFmt w:val="bullet"/>
      <w:lvlText w:val=""/>
      <w:lvlJc w:val="left"/>
      <w:pPr>
        <w:ind w:left="5400" w:hanging="360"/>
      </w:pPr>
      <w:rPr>
        <w:rFonts w:ascii="Wingdings" w:hAnsi="Wingdings" w:hint="default"/>
      </w:rPr>
    </w:lvl>
    <w:lvl w:ilvl="6" w:tplc="7E6215BC" w:tentative="1">
      <w:start w:val="1"/>
      <w:numFmt w:val="bullet"/>
      <w:lvlText w:val=""/>
      <w:lvlJc w:val="left"/>
      <w:pPr>
        <w:ind w:left="6120" w:hanging="360"/>
      </w:pPr>
      <w:rPr>
        <w:rFonts w:ascii="Symbol" w:hAnsi="Symbol" w:hint="default"/>
      </w:rPr>
    </w:lvl>
    <w:lvl w:ilvl="7" w:tplc="4AD8BD50" w:tentative="1">
      <w:start w:val="1"/>
      <w:numFmt w:val="bullet"/>
      <w:lvlText w:val="o"/>
      <w:lvlJc w:val="left"/>
      <w:pPr>
        <w:ind w:left="6840" w:hanging="360"/>
      </w:pPr>
      <w:rPr>
        <w:rFonts w:ascii="Courier New" w:hAnsi="Courier New" w:hint="default"/>
      </w:rPr>
    </w:lvl>
    <w:lvl w:ilvl="8" w:tplc="2C46ECC0" w:tentative="1">
      <w:start w:val="1"/>
      <w:numFmt w:val="bullet"/>
      <w:lvlText w:val=""/>
      <w:lvlJc w:val="left"/>
      <w:pPr>
        <w:ind w:left="7560" w:hanging="360"/>
      </w:pPr>
      <w:rPr>
        <w:rFonts w:ascii="Wingdings" w:hAnsi="Wingdings" w:hint="default"/>
      </w:rPr>
    </w:lvl>
  </w:abstractNum>
  <w:abstractNum w:abstractNumId="4">
    <w:nsid w:val="18CD18E2"/>
    <w:multiLevelType w:val="hybridMultilevel"/>
    <w:tmpl w:val="8F10EB1E"/>
    <w:lvl w:ilvl="0" w:tplc="4D38E588">
      <w:start w:val="1"/>
      <w:numFmt w:val="bullet"/>
      <w:lvlText w:val=""/>
      <w:lvlJc w:val="left"/>
      <w:pPr>
        <w:ind w:left="1890" w:hanging="360"/>
      </w:pPr>
      <w:rPr>
        <w:rFonts w:ascii="Symbol" w:hAnsi="Symbol" w:hint="default"/>
      </w:rPr>
    </w:lvl>
    <w:lvl w:ilvl="1" w:tplc="421A565A">
      <w:start w:val="1"/>
      <w:numFmt w:val="lowerLetter"/>
      <w:lvlText w:val="%2."/>
      <w:lvlJc w:val="left"/>
      <w:pPr>
        <w:ind w:left="2520" w:hanging="360"/>
      </w:pPr>
      <w:rPr>
        <w:rFonts w:cs="Times New Roman"/>
      </w:rPr>
    </w:lvl>
    <w:lvl w:ilvl="2" w:tplc="0EAE770C" w:tentative="1">
      <w:start w:val="1"/>
      <w:numFmt w:val="lowerRoman"/>
      <w:lvlText w:val="%3."/>
      <w:lvlJc w:val="right"/>
      <w:pPr>
        <w:ind w:left="3240" w:hanging="180"/>
      </w:pPr>
      <w:rPr>
        <w:rFonts w:cs="Times New Roman"/>
      </w:rPr>
    </w:lvl>
    <w:lvl w:ilvl="3" w:tplc="9F06333C" w:tentative="1">
      <w:start w:val="1"/>
      <w:numFmt w:val="decimal"/>
      <w:lvlText w:val="%4."/>
      <w:lvlJc w:val="left"/>
      <w:pPr>
        <w:ind w:left="3960" w:hanging="360"/>
      </w:pPr>
      <w:rPr>
        <w:rFonts w:cs="Times New Roman"/>
      </w:rPr>
    </w:lvl>
    <w:lvl w:ilvl="4" w:tplc="D742A2B6" w:tentative="1">
      <w:start w:val="1"/>
      <w:numFmt w:val="lowerLetter"/>
      <w:lvlText w:val="%5."/>
      <w:lvlJc w:val="left"/>
      <w:pPr>
        <w:ind w:left="4680" w:hanging="360"/>
      </w:pPr>
      <w:rPr>
        <w:rFonts w:cs="Times New Roman"/>
      </w:rPr>
    </w:lvl>
    <w:lvl w:ilvl="5" w:tplc="C2467D52" w:tentative="1">
      <w:start w:val="1"/>
      <w:numFmt w:val="lowerRoman"/>
      <w:lvlText w:val="%6."/>
      <w:lvlJc w:val="right"/>
      <w:pPr>
        <w:ind w:left="5400" w:hanging="180"/>
      </w:pPr>
      <w:rPr>
        <w:rFonts w:cs="Times New Roman"/>
      </w:rPr>
    </w:lvl>
    <w:lvl w:ilvl="6" w:tplc="2850DF4A" w:tentative="1">
      <w:start w:val="1"/>
      <w:numFmt w:val="decimal"/>
      <w:lvlText w:val="%7."/>
      <w:lvlJc w:val="left"/>
      <w:pPr>
        <w:ind w:left="6120" w:hanging="360"/>
      </w:pPr>
      <w:rPr>
        <w:rFonts w:cs="Times New Roman"/>
      </w:rPr>
    </w:lvl>
    <w:lvl w:ilvl="7" w:tplc="A9C0BE24" w:tentative="1">
      <w:start w:val="1"/>
      <w:numFmt w:val="lowerLetter"/>
      <w:lvlText w:val="%8."/>
      <w:lvlJc w:val="left"/>
      <w:pPr>
        <w:ind w:left="6840" w:hanging="360"/>
      </w:pPr>
      <w:rPr>
        <w:rFonts w:cs="Times New Roman"/>
      </w:rPr>
    </w:lvl>
    <w:lvl w:ilvl="8" w:tplc="1A42DB04" w:tentative="1">
      <w:start w:val="1"/>
      <w:numFmt w:val="lowerRoman"/>
      <w:lvlText w:val="%9."/>
      <w:lvlJc w:val="right"/>
      <w:pPr>
        <w:ind w:left="7560" w:hanging="180"/>
      </w:pPr>
      <w:rPr>
        <w:rFonts w:cs="Times New Roman"/>
      </w:rPr>
    </w:lvl>
  </w:abstractNum>
  <w:abstractNum w:abstractNumId="5">
    <w:nsid w:val="31065FC2"/>
    <w:multiLevelType w:val="hybridMultilevel"/>
    <w:tmpl w:val="AB0A2D88"/>
    <w:lvl w:ilvl="0" w:tplc="51DCD7D2">
      <w:start w:val="1"/>
      <w:numFmt w:val="bullet"/>
      <w:lvlText w:val=""/>
      <w:lvlJc w:val="left"/>
      <w:pPr>
        <w:ind w:left="1800" w:hanging="360"/>
      </w:pPr>
      <w:rPr>
        <w:rFonts w:ascii="Symbol" w:hAnsi="Symbol" w:hint="default"/>
      </w:rPr>
    </w:lvl>
    <w:lvl w:ilvl="1" w:tplc="19B6ACDE" w:tentative="1">
      <w:start w:val="1"/>
      <w:numFmt w:val="bullet"/>
      <w:lvlText w:val="o"/>
      <w:lvlJc w:val="left"/>
      <w:pPr>
        <w:ind w:left="2520" w:hanging="360"/>
      </w:pPr>
      <w:rPr>
        <w:rFonts w:ascii="Courier New" w:hAnsi="Courier New" w:hint="default"/>
      </w:rPr>
    </w:lvl>
    <w:lvl w:ilvl="2" w:tplc="3C68D14C" w:tentative="1">
      <w:start w:val="1"/>
      <w:numFmt w:val="bullet"/>
      <w:lvlText w:val=""/>
      <w:lvlJc w:val="left"/>
      <w:pPr>
        <w:ind w:left="3240" w:hanging="360"/>
      </w:pPr>
      <w:rPr>
        <w:rFonts w:ascii="Wingdings" w:hAnsi="Wingdings" w:hint="default"/>
      </w:rPr>
    </w:lvl>
    <w:lvl w:ilvl="3" w:tplc="D14607C8" w:tentative="1">
      <w:start w:val="1"/>
      <w:numFmt w:val="bullet"/>
      <w:lvlText w:val=""/>
      <w:lvlJc w:val="left"/>
      <w:pPr>
        <w:ind w:left="3960" w:hanging="360"/>
      </w:pPr>
      <w:rPr>
        <w:rFonts w:ascii="Symbol" w:hAnsi="Symbol" w:hint="default"/>
      </w:rPr>
    </w:lvl>
    <w:lvl w:ilvl="4" w:tplc="F482A4E2" w:tentative="1">
      <w:start w:val="1"/>
      <w:numFmt w:val="bullet"/>
      <w:lvlText w:val="o"/>
      <w:lvlJc w:val="left"/>
      <w:pPr>
        <w:ind w:left="4680" w:hanging="360"/>
      </w:pPr>
      <w:rPr>
        <w:rFonts w:ascii="Courier New" w:hAnsi="Courier New" w:hint="default"/>
      </w:rPr>
    </w:lvl>
    <w:lvl w:ilvl="5" w:tplc="18781226" w:tentative="1">
      <w:start w:val="1"/>
      <w:numFmt w:val="bullet"/>
      <w:lvlText w:val=""/>
      <w:lvlJc w:val="left"/>
      <w:pPr>
        <w:ind w:left="5400" w:hanging="360"/>
      </w:pPr>
      <w:rPr>
        <w:rFonts w:ascii="Wingdings" w:hAnsi="Wingdings" w:hint="default"/>
      </w:rPr>
    </w:lvl>
    <w:lvl w:ilvl="6" w:tplc="B6F4432A" w:tentative="1">
      <w:start w:val="1"/>
      <w:numFmt w:val="bullet"/>
      <w:lvlText w:val=""/>
      <w:lvlJc w:val="left"/>
      <w:pPr>
        <w:ind w:left="6120" w:hanging="360"/>
      </w:pPr>
      <w:rPr>
        <w:rFonts w:ascii="Symbol" w:hAnsi="Symbol" w:hint="default"/>
      </w:rPr>
    </w:lvl>
    <w:lvl w:ilvl="7" w:tplc="09A0886A" w:tentative="1">
      <w:start w:val="1"/>
      <w:numFmt w:val="bullet"/>
      <w:lvlText w:val="o"/>
      <w:lvlJc w:val="left"/>
      <w:pPr>
        <w:ind w:left="6840" w:hanging="360"/>
      </w:pPr>
      <w:rPr>
        <w:rFonts w:ascii="Courier New" w:hAnsi="Courier New" w:hint="default"/>
      </w:rPr>
    </w:lvl>
    <w:lvl w:ilvl="8" w:tplc="E4B21232" w:tentative="1">
      <w:start w:val="1"/>
      <w:numFmt w:val="bullet"/>
      <w:lvlText w:val=""/>
      <w:lvlJc w:val="left"/>
      <w:pPr>
        <w:ind w:left="7560" w:hanging="360"/>
      </w:pPr>
      <w:rPr>
        <w:rFonts w:ascii="Wingdings" w:hAnsi="Wingdings" w:hint="default"/>
      </w:rPr>
    </w:lvl>
  </w:abstractNum>
  <w:abstractNum w:abstractNumId="6">
    <w:nsid w:val="31EB5357"/>
    <w:multiLevelType w:val="hybridMultilevel"/>
    <w:tmpl w:val="0A6ABFF6"/>
    <w:lvl w:ilvl="0" w:tplc="1F8C8CF4">
      <w:start w:val="1"/>
      <w:numFmt w:val="bullet"/>
      <w:lvlText w:val=""/>
      <w:lvlJc w:val="left"/>
      <w:pPr>
        <w:ind w:left="1890" w:hanging="360"/>
      </w:pPr>
      <w:rPr>
        <w:rFonts w:ascii="Symbol" w:hAnsi="Symbol" w:hint="default"/>
      </w:rPr>
    </w:lvl>
    <w:lvl w:ilvl="1" w:tplc="FBEAC492">
      <w:start w:val="1"/>
      <w:numFmt w:val="lowerLetter"/>
      <w:lvlText w:val="%2."/>
      <w:lvlJc w:val="left"/>
      <w:pPr>
        <w:ind w:left="2520" w:hanging="360"/>
      </w:pPr>
      <w:rPr>
        <w:rFonts w:cs="Times New Roman"/>
      </w:rPr>
    </w:lvl>
    <w:lvl w:ilvl="2" w:tplc="B1BA9CF4" w:tentative="1">
      <w:start w:val="1"/>
      <w:numFmt w:val="lowerRoman"/>
      <w:lvlText w:val="%3."/>
      <w:lvlJc w:val="right"/>
      <w:pPr>
        <w:ind w:left="3240" w:hanging="180"/>
      </w:pPr>
      <w:rPr>
        <w:rFonts w:cs="Times New Roman"/>
      </w:rPr>
    </w:lvl>
    <w:lvl w:ilvl="3" w:tplc="ACD4EAA6" w:tentative="1">
      <w:start w:val="1"/>
      <w:numFmt w:val="decimal"/>
      <w:lvlText w:val="%4."/>
      <w:lvlJc w:val="left"/>
      <w:pPr>
        <w:ind w:left="3960" w:hanging="360"/>
      </w:pPr>
      <w:rPr>
        <w:rFonts w:cs="Times New Roman"/>
      </w:rPr>
    </w:lvl>
    <w:lvl w:ilvl="4" w:tplc="8A9CFDD0" w:tentative="1">
      <w:start w:val="1"/>
      <w:numFmt w:val="lowerLetter"/>
      <w:lvlText w:val="%5."/>
      <w:lvlJc w:val="left"/>
      <w:pPr>
        <w:ind w:left="4680" w:hanging="360"/>
      </w:pPr>
      <w:rPr>
        <w:rFonts w:cs="Times New Roman"/>
      </w:rPr>
    </w:lvl>
    <w:lvl w:ilvl="5" w:tplc="BAB40C0C" w:tentative="1">
      <w:start w:val="1"/>
      <w:numFmt w:val="lowerRoman"/>
      <w:lvlText w:val="%6."/>
      <w:lvlJc w:val="right"/>
      <w:pPr>
        <w:ind w:left="5400" w:hanging="180"/>
      </w:pPr>
      <w:rPr>
        <w:rFonts w:cs="Times New Roman"/>
      </w:rPr>
    </w:lvl>
    <w:lvl w:ilvl="6" w:tplc="899A7FBE" w:tentative="1">
      <w:start w:val="1"/>
      <w:numFmt w:val="decimal"/>
      <w:lvlText w:val="%7."/>
      <w:lvlJc w:val="left"/>
      <w:pPr>
        <w:ind w:left="6120" w:hanging="360"/>
      </w:pPr>
      <w:rPr>
        <w:rFonts w:cs="Times New Roman"/>
      </w:rPr>
    </w:lvl>
    <w:lvl w:ilvl="7" w:tplc="0C2A0974" w:tentative="1">
      <w:start w:val="1"/>
      <w:numFmt w:val="lowerLetter"/>
      <w:lvlText w:val="%8."/>
      <w:lvlJc w:val="left"/>
      <w:pPr>
        <w:ind w:left="6840" w:hanging="360"/>
      </w:pPr>
      <w:rPr>
        <w:rFonts w:cs="Times New Roman"/>
      </w:rPr>
    </w:lvl>
    <w:lvl w:ilvl="8" w:tplc="097C3E2E" w:tentative="1">
      <w:start w:val="1"/>
      <w:numFmt w:val="lowerRoman"/>
      <w:lvlText w:val="%9."/>
      <w:lvlJc w:val="right"/>
      <w:pPr>
        <w:ind w:left="7560" w:hanging="180"/>
      </w:pPr>
      <w:rPr>
        <w:rFonts w:cs="Times New Roman"/>
      </w:rPr>
    </w:lvl>
  </w:abstractNum>
  <w:abstractNum w:abstractNumId="7">
    <w:nsid w:val="347D576E"/>
    <w:multiLevelType w:val="hybridMultilevel"/>
    <w:tmpl w:val="DD2EC616"/>
    <w:lvl w:ilvl="0" w:tplc="7E82E056">
      <w:start w:val="1"/>
      <w:numFmt w:val="bullet"/>
      <w:lvlText w:val=""/>
      <w:lvlJc w:val="left"/>
      <w:pPr>
        <w:ind w:left="733" w:hanging="360"/>
      </w:pPr>
      <w:rPr>
        <w:rFonts w:ascii="Symbol" w:hAnsi="Symbol" w:hint="default"/>
      </w:rPr>
    </w:lvl>
    <w:lvl w:ilvl="1" w:tplc="C80E563E" w:tentative="1">
      <w:start w:val="1"/>
      <w:numFmt w:val="bullet"/>
      <w:lvlText w:val="o"/>
      <w:lvlJc w:val="left"/>
      <w:pPr>
        <w:ind w:left="1453" w:hanging="360"/>
      </w:pPr>
      <w:rPr>
        <w:rFonts w:ascii="Courier New" w:hAnsi="Courier New" w:hint="default"/>
      </w:rPr>
    </w:lvl>
    <w:lvl w:ilvl="2" w:tplc="1A7A0C2A" w:tentative="1">
      <w:start w:val="1"/>
      <w:numFmt w:val="bullet"/>
      <w:lvlText w:val=""/>
      <w:lvlJc w:val="left"/>
      <w:pPr>
        <w:ind w:left="2173" w:hanging="360"/>
      </w:pPr>
      <w:rPr>
        <w:rFonts w:ascii="Wingdings" w:hAnsi="Wingdings" w:hint="default"/>
      </w:rPr>
    </w:lvl>
    <w:lvl w:ilvl="3" w:tplc="E404FFE4" w:tentative="1">
      <w:start w:val="1"/>
      <w:numFmt w:val="bullet"/>
      <w:lvlText w:val=""/>
      <w:lvlJc w:val="left"/>
      <w:pPr>
        <w:ind w:left="2893" w:hanging="360"/>
      </w:pPr>
      <w:rPr>
        <w:rFonts w:ascii="Symbol" w:hAnsi="Symbol" w:hint="default"/>
      </w:rPr>
    </w:lvl>
    <w:lvl w:ilvl="4" w:tplc="6C767ECA" w:tentative="1">
      <w:start w:val="1"/>
      <w:numFmt w:val="bullet"/>
      <w:lvlText w:val="o"/>
      <w:lvlJc w:val="left"/>
      <w:pPr>
        <w:ind w:left="3613" w:hanging="360"/>
      </w:pPr>
      <w:rPr>
        <w:rFonts w:ascii="Courier New" w:hAnsi="Courier New" w:hint="default"/>
      </w:rPr>
    </w:lvl>
    <w:lvl w:ilvl="5" w:tplc="760C4FE6" w:tentative="1">
      <w:start w:val="1"/>
      <w:numFmt w:val="bullet"/>
      <w:lvlText w:val=""/>
      <w:lvlJc w:val="left"/>
      <w:pPr>
        <w:ind w:left="4333" w:hanging="360"/>
      </w:pPr>
      <w:rPr>
        <w:rFonts w:ascii="Wingdings" w:hAnsi="Wingdings" w:hint="default"/>
      </w:rPr>
    </w:lvl>
    <w:lvl w:ilvl="6" w:tplc="990017AC" w:tentative="1">
      <w:start w:val="1"/>
      <w:numFmt w:val="bullet"/>
      <w:lvlText w:val=""/>
      <w:lvlJc w:val="left"/>
      <w:pPr>
        <w:ind w:left="5053" w:hanging="360"/>
      </w:pPr>
      <w:rPr>
        <w:rFonts w:ascii="Symbol" w:hAnsi="Symbol" w:hint="default"/>
      </w:rPr>
    </w:lvl>
    <w:lvl w:ilvl="7" w:tplc="9BA246D8" w:tentative="1">
      <w:start w:val="1"/>
      <w:numFmt w:val="bullet"/>
      <w:lvlText w:val="o"/>
      <w:lvlJc w:val="left"/>
      <w:pPr>
        <w:ind w:left="5773" w:hanging="360"/>
      </w:pPr>
      <w:rPr>
        <w:rFonts w:ascii="Courier New" w:hAnsi="Courier New" w:hint="default"/>
      </w:rPr>
    </w:lvl>
    <w:lvl w:ilvl="8" w:tplc="537056AE" w:tentative="1">
      <w:start w:val="1"/>
      <w:numFmt w:val="bullet"/>
      <w:lvlText w:val=""/>
      <w:lvlJc w:val="left"/>
      <w:pPr>
        <w:ind w:left="6493" w:hanging="360"/>
      </w:pPr>
      <w:rPr>
        <w:rFonts w:ascii="Wingdings" w:hAnsi="Wingdings" w:hint="default"/>
      </w:rPr>
    </w:lvl>
  </w:abstractNum>
  <w:abstractNum w:abstractNumId="8">
    <w:nsid w:val="36BD3E36"/>
    <w:multiLevelType w:val="hybridMultilevel"/>
    <w:tmpl w:val="CC48A462"/>
    <w:lvl w:ilvl="0" w:tplc="A2F4D1B4">
      <w:start w:val="1"/>
      <w:numFmt w:val="decimal"/>
      <w:lvlText w:val="%1."/>
      <w:lvlJc w:val="left"/>
      <w:pPr>
        <w:ind w:left="720" w:hanging="360"/>
      </w:pPr>
      <w:rPr>
        <w:rFonts w:cs="Times New Roman"/>
      </w:rPr>
    </w:lvl>
    <w:lvl w:ilvl="1" w:tplc="9B70B302" w:tentative="1">
      <w:start w:val="1"/>
      <w:numFmt w:val="lowerLetter"/>
      <w:lvlText w:val="%2."/>
      <w:lvlJc w:val="left"/>
      <w:pPr>
        <w:ind w:left="1440" w:hanging="360"/>
      </w:pPr>
      <w:rPr>
        <w:rFonts w:cs="Times New Roman"/>
      </w:rPr>
    </w:lvl>
    <w:lvl w:ilvl="2" w:tplc="E11EFA76" w:tentative="1">
      <w:start w:val="1"/>
      <w:numFmt w:val="lowerRoman"/>
      <w:lvlText w:val="%3."/>
      <w:lvlJc w:val="right"/>
      <w:pPr>
        <w:ind w:left="2160" w:hanging="180"/>
      </w:pPr>
      <w:rPr>
        <w:rFonts w:cs="Times New Roman"/>
      </w:rPr>
    </w:lvl>
    <w:lvl w:ilvl="3" w:tplc="16AACA9E" w:tentative="1">
      <w:start w:val="1"/>
      <w:numFmt w:val="decimal"/>
      <w:lvlText w:val="%4."/>
      <w:lvlJc w:val="left"/>
      <w:pPr>
        <w:ind w:left="2880" w:hanging="360"/>
      </w:pPr>
      <w:rPr>
        <w:rFonts w:cs="Times New Roman"/>
      </w:rPr>
    </w:lvl>
    <w:lvl w:ilvl="4" w:tplc="A55A1C12" w:tentative="1">
      <w:start w:val="1"/>
      <w:numFmt w:val="lowerLetter"/>
      <w:lvlText w:val="%5."/>
      <w:lvlJc w:val="left"/>
      <w:pPr>
        <w:ind w:left="3600" w:hanging="360"/>
      </w:pPr>
      <w:rPr>
        <w:rFonts w:cs="Times New Roman"/>
      </w:rPr>
    </w:lvl>
    <w:lvl w:ilvl="5" w:tplc="51AEF30C" w:tentative="1">
      <w:start w:val="1"/>
      <w:numFmt w:val="lowerRoman"/>
      <w:lvlText w:val="%6."/>
      <w:lvlJc w:val="right"/>
      <w:pPr>
        <w:ind w:left="4320" w:hanging="180"/>
      </w:pPr>
      <w:rPr>
        <w:rFonts w:cs="Times New Roman"/>
      </w:rPr>
    </w:lvl>
    <w:lvl w:ilvl="6" w:tplc="DCC2A0E0" w:tentative="1">
      <w:start w:val="1"/>
      <w:numFmt w:val="decimal"/>
      <w:lvlText w:val="%7."/>
      <w:lvlJc w:val="left"/>
      <w:pPr>
        <w:ind w:left="5040" w:hanging="360"/>
      </w:pPr>
      <w:rPr>
        <w:rFonts w:cs="Times New Roman"/>
      </w:rPr>
    </w:lvl>
    <w:lvl w:ilvl="7" w:tplc="2B7CAA4A" w:tentative="1">
      <w:start w:val="1"/>
      <w:numFmt w:val="lowerLetter"/>
      <w:lvlText w:val="%8."/>
      <w:lvlJc w:val="left"/>
      <w:pPr>
        <w:ind w:left="5760" w:hanging="360"/>
      </w:pPr>
      <w:rPr>
        <w:rFonts w:cs="Times New Roman"/>
      </w:rPr>
    </w:lvl>
    <w:lvl w:ilvl="8" w:tplc="78E6B3A2" w:tentative="1">
      <w:start w:val="1"/>
      <w:numFmt w:val="lowerRoman"/>
      <w:lvlText w:val="%9."/>
      <w:lvlJc w:val="right"/>
      <w:pPr>
        <w:ind w:left="6480" w:hanging="180"/>
      </w:pPr>
      <w:rPr>
        <w:rFonts w:cs="Times New Roman"/>
      </w:rPr>
    </w:lvl>
  </w:abstractNum>
  <w:abstractNum w:abstractNumId="9">
    <w:nsid w:val="38C0536F"/>
    <w:multiLevelType w:val="singleLevel"/>
    <w:tmpl w:val="1F708ACC"/>
    <w:lvl w:ilvl="0">
      <w:start w:val="1"/>
      <w:numFmt w:val="upperLetter"/>
      <w:pStyle w:val="Heading5"/>
      <w:lvlText w:val="%1."/>
      <w:lvlJc w:val="left"/>
      <w:pPr>
        <w:tabs>
          <w:tab w:val="num" w:pos="360"/>
        </w:tabs>
        <w:ind w:left="360" w:hanging="360"/>
      </w:pPr>
      <w:rPr>
        <w:rFonts w:cs="Times New Roman" w:hint="default"/>
      </w:rPr>
    </w:lvl>
  </w:abstractNum>
  <w:abstractNum w:abstractNumId="10">
    <w:nsid w:val="3ED40F6E"/>
    <w:multiLevelType w:val="hybridMultilevel"/>
    <w:tmpl w:val="40A69C38"/>
    <w:lvl w:ilvl="0" w:tplc="ED94C74C">
      <w:start w:val="1"/>
      <w:numFmt w:val="upperRoman"/>
      <w:lvlText w:val="%1."/>
      <w:lvlJc w:val="left"/>
      <w:pPr>
        <w:ind w:left="1080" w:hanging="720"/>
      </w:pPr>
      <w:rPr>
        <w:rFonts w:cs="Times New Roman" w:hint="default"/>
      </w:rPr>
    </w:lvl>
    <w:lvl w:ilvl="1" w:tplc="2FAC358A" w:tentative="1">
      <w:start w:val="1"/>
      <w:numFmt w:val="lowerLetter"/>
      <w:lvlText w:val="%2."/>
      <w:lvlJc w:val="left"/>
      <w:pPr>
        <w:ind w:left="1440" w:hanging="360"/>
      </w:pPr>
      <w:rPr>
        <w:rFonts w:cs="Times New Roman"/>
      </w:rPr>
    </w:lvl>
    <w:lvl w:ilvl="2" w:tplc="653644CA" w:tentative="1">
      <w:start w:val="1"/>
      <w:numFmt w:val="lowerRoman"/>
      <w:lvlText w:val="%3."/>
      <w:lvlJc w:val="right"/>
      <w:pPr>
        <w:ind w:left="2160" w:hanging="180"/>
      </w:pPr>
      <w:rPr>
        <w:rFonts w:cs="Times New Roman"/>
      </w:rPr>
    </w:lvl>
    <w:lvl w:ilvl="3" w:tplc="5E5AFDBC" w:tentative="1">
      <w:start w:val="1"/>
      <w:numFmt w:val="decimal"/>
      <w:lvlText w:val="%4."/>
      <w:lvlJc w:val="left"/>
      <w:pPr>
        <w:ind w:left="2880" w:hanging="360"/>
      </w:pPr>
      <w:rPr>
        <w:rFonts w:cs="Times New Roman"/>
      </w:rPr>
    </w:lvl>
    <w:lvl w:ilvl="4" w:tplc="9ADEDB8A" w:tentative="1">
      <w:start w:val="1"/>
      <w:numFmt w:val="lowerLetter"/>
      <w:lvlText w:val="%5."/>
      <w:lvlJc w:val="left"/>
      <w:pPr>
        <w:ind w:left="3600" w:hanging="360"/>
      </w:pPr>
      <w:rPr>
        <w:rFonts w:cs="Times New Roman"/>
      </w:rPr>
    </w:lvl>
    <w:lvl w:ilvl="5" w:tplc="E9DE87A8" w:tentative="1">
      <w:start w:val="1"/>
      <w:numFmt w:val="lowerRoman"/>
      <w:lvlText w:val="%6."/>
      <w:lvlJc w:val="right"/>
      <w:pPr>
        <w:ind w:left="4320" w:hanging="180"/>
      </w:pPr>
      <w:rPr>
        <w:rFonts w:cs="Times New Roman"/>
      </w:rPr>
    </w:lvl>
    <w:lvl w:ilvl="6" w:tplc="DA6A92B0" w:tentative="1">
      <w:start w:val="1"/>
      <w:numFmt w:val="decimal"/>
      <w:lvlText w:val="%7."/>
      <w:lvlJc w:val="left"/>
      <w:pPr>
        <w:ind w:left="5040" w:hanging="360"/>
      </w:pPr>
      <w:rPr>
        <w:rFonts w:cs="Times New Roman"/>
      </w:rPr>
    </w:lvl>
    <w:lvl w:ilvl="7" w:tplc="D5744644" w:tentative="1">
      <w:start w:val="1"/>
      <w:numFmt w:val="lowerLetter"/>
      <w:lvlText w:val="%8."/>
      <w:lvlJc w:val="left"/>
      <w:pPr>
        <w:ind w:left="5760" w:hanging="360"/>
      </w:pPr>
      <w:rPr>
        <w:rFonts w:cs="Times New Roman"/>
      </w:rPr>
    </w:lvl>
    <w:lvl w:ilvl="8" w:tplc="0E5A0A6C" w:tentative="1">
      <w:start w:val="1"/>
      <w:numFmt w:val="lowerRoman"/>
      <w:lvlText w:val="%9."/>
      <w:lvlJc w:val="right"/>
      <w:pPr>
        <w:ind w:left="6480" w:hanging="180"/>
      </w:pPr>
      <w:rPr>
        <w:rFonts w:cs="Times New Roman"/>
      </w:rPr>
    </w:lvl>
  </w:abstractNum>
  <w:abstractNum w:abstractNumId="11">
    <w:nsid w:val="48C97EE3"/>
    <w:multiLevelType w:val="hybridMultilevel"/>
    <w:tmpl w:val="34DC6D4A"/>
    <w:lvl w:ilvl="0" w:tplc="69B013AC">
      <w:start w:val="1"/>
      <w:numFmt w:val="bullet"/>
      <w:lvlText w:val=""/>
      <w:lvlJc w:val="left"/>
      <w:pPr>
        <w:ind w:left="1800" w:hanging="360"/>
      </w:pPr>
      <w:rPr>
        <w:rFonts w:ascii="Symbol" w:hAnsi="Symbol" w:hint="default"/>
      </w:rPr>
    </w:lvl>
    <w:lvl w:ilvl="1" w:tplc="04907E04" w:tentative="1">
      <w:start w:val="1"/>
      <w:numFmt w:val="bullet"/>
      <w:lvlText w:val="o"/>
      <w:lvlJc w:val="left"/>
      <w:pPr>
        <w:ind w:left="2520" w:hanging="360"/>
      </w:pPr>
      <w:rPr>
        <w:rFonts w:ascii="Courier New" w:hAnsi="Courier New" w:hint="default"/>
      </w:rPr>
    </w:lvl>
    <w:lvl w:ilvl="2" w:tplc="F5E4C144" w:tentative="1">
      <w:start w:val="1"/>
      <w:numFmt w:val="bullet"/>
      <w:lvlText w:val=""/>
      <w:lvlJc w:val="left"/>
      <w:pPr>
        <w:ind w:left="3240" w:hanging="360"/>
      </w:pPr>
      <w:rPr>
        <w:rFonts w:ascii="Wingdings" w:hAnsi="Wingdings" w:hint="default"/>
      </w:rPr>
    </w:lvl>
    <w:lvl w:ilvl="3" w:tplc="FB766864" w:tentative="1">
      <w:start w:val="1"/>
      <w:numFmt w:val="bullet"/>
      <w:lvlText w:val=""/>
      <w:lvlJc w:val="left"/>
      <w:pPr>
        <w:ind w:left="3960" w:hanging="360"/>
      </w:pPr>
      <w:rPr>
        <w:rFonts w:ascii="Symbol" w:hAnsi="Symbol" w:hint="default"/>
      </w:rPr>
    </w:lvl>
    <w:lvl w:ilvl="4" w:tplc="637CFD32" w:tentative="1">
      <w:start w:val="1"/>
      <w:numFmt w:val="bullet"/>
      <w:lvlText w:val="o"/>
      <w:lvlJc w:val="left"/>
      <w:pPr>
        <w:ind w:left="4680" w:hanging="360"/>
      </w:pPr>
      <w:rPr>
        <w:rFonts w:ascii="Courier New" w:hAnsi="Courier New" w:hint="default"/>
      </w:rPr>
    </w:lvl>
    <w:lvl w:ilvl="5" w:tplc="02F49DB8" w:tentative="1">
      <w:start w:val="1"/>
      <w:numFmt w:val="bullet"/>
      <w:lvlText w:val=""/>
      <w:lvlJc w:val="left"/>
      <w:pPr>
        <w:ind w:left="5400" w:hanging="360"/>
      </w:pPr>
      <w:rPr>
        <w:rFonts w:ascii="Wingdings" w:hAnsi="Wingdings" w:hint="default"/>
      </w:rPr>
    </w:lvl>
    <w:lvl w:ilvl="6" w:tplc="044AE862" w:tentative="1">
      <w:start w:val="1"/>
      <w:numFmt w:val="bullet"/>
      <w:lvlText w:val=""/>
      <w:lvlJc w:val="left"/>
      <w:pPr>
        <w:ind w:left="6120" w:hanging="360"/>
      </w:pPr>
      <w:rPr>
        <w:rFonts w:ascii="Symbol" w:hAnsi="Symbol" w:hint="default"/>
      </w:rPr>
    </w:lvl>
    <w:lvl w:ilvl="7" w:tplc="BA46C2AA" w:tentative="1">
      <w:start w:val="1"/>
      <w:numFmt w:val="bullet"/>
      <w:lvlText w:val="o"/>
      <w:lvlJc w:val="left"/>
      <w:pPr>
        <w:ind w:left="6840" w:hanging="360"/>
      </w:pPr>
      <w:rPr>
        <w:rFonts w:ascii="Courier New" w:hAnsi="Courier New" w:hint="default"/>
      </w:rPr>
    </w:lvl>
    <w:lvl w:ilvl="8" w:tplc="A112D21E" w:tentative="1">
      <w:start w:val="1"/>
      <w:numFmt w:val="bullet"/>
      <w:lvlText w:val=""/>
      <w:lvlJc w:val="left"/>
      <w:pPr>
        <w:ind w:left="7560" w:hanging="360"/>
      </w:pPr>
      <w:rPr>
        <w:rFonts w:ascii="Wingdings" w:hAnsi="Wingdings" w:hint="default"/>
      </w:rPr>
    </w:lvl>
  </w:abstractNum>
  <w:abstractNum w:abstractNumId="12">
    <w:nsid w:val="4C260A0E"/>
    <w:multiLevelType w:val="hybridMultilevel"/>
    <w:tmpl w:val="01AC6B10"/>
    <w:lvl w:ilvl="0" w:tplc="5298F944">
      <w:start w:val="1"/>
      <w:numFmt w:val="upperRoman"/>
      <w:pStyle w:val="Heading1"/>
      <w:lvlText w:val="%1."/>
      <w:lvlJc w:val="left"/>
      <w:pPr>
        <w:ind w:left="936" w:hanging="360"/>
      </w:pPr>
      <w:rPr>
        <w:rFonts w:cs="Times New Roman" w:hint="default"/>
        <w:spacing w:val="0"/>
        <w:position w:val="0"/>
      </w:rPr>
    </w:lvl>
    <w:lvl w:ilvl="1" w:tplc="49ACC30A" w:tentative="1">
      <w:start w:val="1"/>
      <w:numFmt w:val="lowerLetter"/>
      <w:lvlText w:val="%2."/>
      <w:lvlJc w:val="left"/>
      <w:pPr>
        <w:ind w:left="1670" w:hanging="360"/>
      </w:pPr>
      <w:rPr>
        <w:rFonts w:cs="Times New Roman"/>
      </w:rPr>
    </w:lvl>
    <w:lvl w:ilvl="2" w:tplc="E0A4B690" w:tentative="1">
      <w:start w:val="1"/>
      <w:numFmt w:val="lowerRoman"/>
      <w:lvlText w:val="%3."/>
      <w:lvlJc w:val="right"/>
      <w:pPr>
        <w:ind w:left="2390" w:hanging="180"/>
      </w:pPr>
      <w:rPr>
        <w:rFonts w:cs="Times New Roman"/>
      </w:rPr>
    </w:lvl>
    <w:lvl w:ilvl="3" w:tplc="5232AD0E" w:tentative="1">
      <w:start w:val="1"/>
      <w:numFmt w:val="decimal"/>
      <w:lvlText w:val="%4."/>
      <w:lvlJc w:val="left"/>
      <w:pPr>
        <w:ind w:left="3110" w:hanging="360"/>
      </w:pPr>
      <w:rPr>
        <w:rFonts w:cs="Times New Roman"/>
      </w:rPr>
    </w:lvl>
    <w:lvl w:ilvl="4" w:tplc="8E803054" w:tentative="1">
      <w:start w:val="1"/>
      <w:numFmt w:val="lowerLetter"/>
      <w:lvlText w:val="%5."/>
      <w:lvlJc w:val="left"/>
      <w:pPr>
        <w:ind w:left="3830" w:hanging="360"/>
      </w:pPr>
      <w:rPr>
        <w:rFonts w:cs="Times New Roman"/>
      </w:rPr>
    </w:lvl>
    <w:lvl w:ilvl="5" w:tplc="514C34F4" w:tentative="1">
      <w:start w:val="1"/>
      <w:numFmt w:val="lowerRoman"/>
      <w:lvlText w:val="%6."/>
      <w:lvlJc w:val="right"/>
      <w:pPr>
        <w:ind w:left="4550" w:hanging="180"/>
      </w:pPr>
      <w:rPr>
        <w:rFonts w:cs="Times New Roman"/>
      </w:rPr>
    </w:lvl>
    <w:lvl w:ilvl="6" w:tplc="0020207A" w:tentative="1">
      <w:start w:val="1"/>
      <w:numFmt w:val="decimal"/>
      <w:lvlText w:val="%7."/>
      <w:lvlJc w:val="left"/>
      <w:pPr>
        <w:ind w:left="5270" w:hanging="360"/>
      </w:pPr>
      <w:rPr>
        <w:rFonts w:cs="Times New Roman"/>
      </w:rPr>
    </w:lvl>
    <w:lvl w:ilvl="7" w:tplc="462EC82A" w:tentative="1">
      <w:start w:val="1"/>
      <w:numFmt w:val="lowerLetter"/>
      <w:lvlText w:val="%8."/>
      <w:lvlJc w:val="left"/>
      <w:pPr>
        <w:ind w:left="5990" w:hanging="360"/>
      </w:pPr>
      <w:rPr>
        <w:rFonts w:cs="Times New Roman"/>
      </w:rPr>
    </w:lvl>
    <w:lvl w:ilvl="8" w:tplc="94D2E118" w:tentative="1">
      <w:start w:val="1"/>
      <w:numFmt w:val="lowerRoman"/>
      <w:lvlText w:val="%9."/>
      <w:lvlJc w:val="right"/>
      <w:pPr>
        <w:ind w:left="6710" w:hanging="180"/>
      </w:pPr>
      <w:rPr>
        <w:rFonts w:cs="Times New Roman"/>
      </w:rPr>
    </w:lvl>
  </w:abstractNum>
  <w:abstractNum w:abstractNumId="13">
    <w:nsid w:val="590561D9"/>
    <w:multiLevelType w:val="hybridMultilevel"/>
    <w:tmpl w:val="2208089C"/>
    <w:lvl w:ilvl="0" w:tplc="A05A0358">
      <w:start w:val="1"/>
      <w:numFmt w:val="bullet"/>
      <w:lvlText w:val=""/>
      <w:lvlJc w:val="left"/>
      <w:pPr>
        <w:ind w:left="1800" w:hanging="360"/>
      </w:pPr>
      <w:rPr>
        <w:rFonts w:ascii="Symbol" w:hAnsi="Symbol" w:hint="default"/>
      </w:rPr>
    </w:lvl>
    <w:lvl w:ilvl="1" w:tplc="B84E1A24" w:tentative="1">
      <w:start w:val="1"/>
      <w:numFmt w:val="bullet"/>
      <w:lvlText w:val="o"/>
      <w:lvlJc w:val="left"/>
      <w:pPr>
        <w:ind w:left="2520" w:hanging="360"/>
      </w:pPr>
      <w:rPr>
        <w:rFonts w:ascii="Courier New" w:hAnsi="Courier New" w:hint="default"/>
      </w:rPr>
    </w:lvl>
    <w:lvl w:ilvl="2" w:tplc="54686C10" w:tentative="1">
      <w:start w:val="1"/>
      <w:numFmt w:val="bullet"/>
      <w:lvlText w:val=""/>
      <w:lvlJc w:val="left"/>
      <w:pPr>
        <w:ind w:left="3240" w:hanging="360"/>
      </w:pPr>
      <w:rPr>
        <w:rFonts w:ascii="Wingdings" w:hAnsi="Wingdings" w:hint="default"/>
      </w:rPr>
    </w:lvl>
    <w:lvl w:ilvl="3" w:tplc="3DEA98A0" w:tentative="1">
      <w:start w:val="1"/>
      <w:numFmt w:val="bullet"/>
      <w:lvlText w:val=""/>
      <w:lvlJc w:val="left"/>
      <w:pPr>
        <w:ind w:left="3960" w:hanging="360"/>
      </w:pPr>
      <w:rPr>
        <w:rFonts w:ascii="Symbol" w:hAnsi="Symbol" w:hint="default"/>
      </w:rPr>
    </w:lvl>
    <w:lvl w:ilvl="4" w:tplc="BD1C7646" w:tentative="1">
      <w:start w:val="1"/>
      <w:numFmt w:val="bullet"/>
      <w:lvlText w:val="o"/>
      <w:lvlJc w:val="left"/>
      <w:pPr>
        <w:ind w:left="4680" w:hanging="360"/>
      </w:pPr>
      <w:rPr>
        <w:rFonts w:ascii="Courier New" w:hAnsi="Courier New" w:hint="default"/>
      </w:rPr>
    </w:lvl>
    <w:lvl w:ilvl="5" w:tplc="E9E0D2BC" w:tentative="1">
      <w:start w:val="1"/>
      <w:numFmt w:val="bullet"/>
      <w:lvlText w:val=""/>
      <w:lvlJc w:val="left"/>
      <w:pPr>
        <w:ind w:left="5400" w:hanging="360"/>
      </w:pPr>
      <w:rPr>
        <w:rFonts w:ascii="Wingdings" w:hAnsi="Wingdings" w:hint="default"/>
      </w:rPr>
    </w:lvl>
    <w:lvl w:ilvl="6" w:tplc="0CDCD7F2" w:tentative="1">
      <w:start w:val="1"/>
      <w:numFmt w:val="bullet"/>
      <w:lvlText w:val=""/>
      <w:lvlJc w:val="left"/>
      <w:pPr>
        <w:ind w:left="6120" w:hanging="360"/>
      </w:pPr>
      <w:rPr>
        <w:rFonts w:ascii="Symbol" w:hAnsi="Symbol" w:hint="default"/>
      </w:rPr>
    </w:lvl>
    <w:lvl w:ilvl="7" w:tplc="E166AACC" w:tentative="1">
      <w:start w:val="1"/>
      <w:numFmt w:val="bullet"/>
      <w:lvlText w:val="o"/>
      <w:lvlJc w:val="left"/>
      <w:pPr>
        <w:ind w:left="6840" w:hanging="360"/>
      </w:pPr>
      <w:rPr>
        <w:rFonts w:ascii="Courier New" w:hAnsi="Courier New" w:hint="default"/>
      </w:rPr>
    </w:lvl>
    <w:lvl w:ilvl="8" w:tplc="C8F600F6" w:tentative="1">
      <w:start w:val="1"/>
      <w:numFmt w:val="bullet"/>
      <w:lvlText w:val=""/>
      <w:lvlJc w:val="left"/>
      <w:pPr>
        <w:ind w:left="7560" w:hanging="360"/>
      </w:pPr>
      <w:rPr>
        <w:rFonts w:ascii="Wingdings" w:hAnsi="Wingdings" w:hint="default"/>
      </w:rPr>
    </w:lvl>
  </w:abstractNum>
  <w:abstractNum w:abstractNumId="14">
    <w:nsid w:val="64171B92"/>
    <w:multiLevelType w:val="hybridMultilevel"/>
    <w:tmpl w:val="49D4D830"/>
    <w:lvl w:ilvl="0" w:tplc="4F40DDE2">
      <w:start w:val="1"/>
      <w:numFmt w:val="decimal"/>
      <w:pStyle w:val="Heading3"/>
      <w:lvlText w:val="%1."/>
      <w:lvlJc w:val="left"/>
      <w:pPr>
        <w:ind w:left="720" w:hanging="360"/>
      </w:pPr>
      <w:rPr>
        <w:rFonts w:cs="Times New Roman"/>
      </w:rPr>
    </w:lvl>
    <w:lvl w:ilvl="1" w:tplc="D1845028" w:tentative="1">
      <w:start w:val="1"/>
      <w:numFmt w:val="lowerLetter"/>
      <w:lvlText w:val="%2."/>
      <w:lvlJc w:val="left"/>
      <w:pPr>
        <w:ind w:left="1440" w:hanging="360"/>
      </w:pPr>
      <w:rPr>
        <w:rFonts w:cs="Times New Roman"/>
      </w:rPr>
    </w:lvl>
    <w:lvl w:ilvl="2" w:tplc="6D8883EC" w:tentative="1">
      <w:start w:val="1"/>
      <w:numFmt w:val="lowerRoman"/>
      <w:lvlText w:val="%3."/>
      <w:lvlJc w:val="right"/>
      <w:pPr>
        <w:ind w:left="2160" w:hanging="180"/>
      </w:pPr>
      <w:rPr>
        <w:rFonts w:cs="Times New Roman"/>
      </w:rPr>
    </w:lvl>
    <w:lvl w:ilvl="3" w:tplc="8CB6B4F8" w:tentative="1">
      <w:start w:val="1"/>
      <w:numFmt w:val="decimal"/>
      <w:lvlText w:val="%4."/>
      <w:lvlJc w:val="left"/>
      <w:pPr>
        <w:ind w:left="2880" w:hanging="360"/>
      </w:pPr>
      <w:rPr>
        <w:rFonts w:cs="Times New Roman"/>
      </w:rPr>
    </w:lvl>
    <w:lvl w:ilvl="4" w:tplc="1B0AB60C" w:tentative="1">
      <w:start w:val="1"/>
      <w:numFmt w:val="lowerLetter"/>
      <w:lvlText w:val="%5."/>
      <w:lvlJc w:val="left"/>
      <w:pPr>
        <w:ind w:left="3600" w:hanging="360"/>
      </w:pPr>
      <w:rPr>
        <w:rFonts w:cs="Times New Roman"/>
      </w:rPr>
    </w:lvl>
    <w:lvl w:ilvl="5" w:tplc="6A747784" w:tentative="1">
      <w:start w:val="1"/>
      <w:numFmt w:val="lowerRoman"/>
      <w:lvlText w:val="%6."/>
      <w:lvlJc w:val="right"/>
      <w:pPr>
        <w:ind w:left="4320" w:hanging="180"/>
      </w:pPr>
      <w:rPr>
        <w:rFonts w:cs="Times New Roman"/>
      </w:rPr>
    </w:lvl>
    <w:lvl w:ilvl="6" w:tplc="84D8C216" w:tentative="1">
      <w:start w:val="1"/>
      <w:numFmt w:val="decimal"/>
      <w:lvlText w:val="%7."/>
      <w:lvlJc w:val="left"/>
      <w:pPr>
        <w:ind w:left="5040" w:hanging="360"/>
      </w:pPr>
      <w:rPr>
        <w:rFonts w:cs="Times New Roman"/>
      </w:rPr>
    </w:lvl>
    <w:lvl w:ilvl="7" w:tplc="7406AAB6" w:tentative="1">
      <w:start w:val="1"/>
      <w:numFmt w:val="lowerLetter"/>
      <w:lvlText w:val="%8."/>
      <w:lvlJc w:val="left"/>
      <w:pPr>
        <w:ind w:left="5760" w:hanging="360"/>
      </w:pPr>
      <w:rPr>
        <w:rFonts w:cs="Times New Roman"/>
      </w:rPr>
    </w:lvl>
    <w:lvl w:ilvl="8" w:tplc="A4FA92C6" w:tentative="1">
      <w:start w:val="1"/>
      <w:numFmt w:val="lowerRoman"/>
      <w:lvlText w:val="%9."/>
      <w:lvlJc w:val="right"/>
      <w:pPr>
        <w:ind w:left="6480" w:hanging="180"/>
      </w:pPr>
      <w:rPr>
        <w:rFonts w:cs="Times New Roman"/>
      </w:rPr>
    </w:lvl>
  </w:abstractNum>
  <w:abstractNum w:abstractNumId="15">
    <w:nsid w:val="662F70B4"/>
    <w:multiLevelType w:val="hybridMultilevel"/>
    <w:tmpl w:val="04A6C182"/>
    <w:lvl w:ilvl="0" w:tplc="B79C80C6">
      <w:start w:val="1"/>
      <w:numFmt w:val="bullet"/>
      <w:lvlText w:val=""/>
      <w:lvlJc w:val="left"/>
      <w:pPr>
        <w:ind w:left="720" w:hanging="360"/>
      </w:pPr>
      <w:rPr>
        <w:rFonts w:ascii="Symbol" w:hAnsi="Symbol" w:hint="default"/>
      </w:rPr>
    </w:lvl>
    <w:lvl w:ilvl="1" w:tplc="D528FBC6" w:tentative="1">
      <w:start w:val="1"/>
      <w:numFmt w:val="bullet"/>
      <w:lvlText w:val="o"/>
      <w:lvlJc w:val="left"/>
      <w:pPr>
        <w:ind w:left="1440" w:hanging="360"/>
      </w:pPr>
      <w:rPr>
        <w:rFonts w:ascii="Courier New" w:hAnsi="Courier New" w:hint="default"/>
      </w:rPr>
    </w:lvl>
    <w:lvl w:ilvl="2" w:tplc="A48E8ED6" w:tentative="1">
      <w:start w:val="1"/>
      <w:numFmt w:val="bullet"/>
      <w:lvlText w:val=""/>
      <w:lvlJc w:val="left"/>
      <w:pPr>
        <w:ind w:left="2160" w:hanging="360"/>
      </w:pPr>
      <w:rPr>
        <w:rFonts w:ascii="Wingdings" w:hAnsi="Wingdings" w:hint="default"/>
      </w:rPr>
    </w:lvl>
    <w:lvl w:ilvl="3" w:tplc="4D5AEFB8" w:tentative="1">
      <w:start w:val="1"/>
      <w:numFmt w:val="bullet"/>
      <w:lvlText w:val=""/>
      <w:lvlJc w:val="left"/>
      <w:pPr>
        <w:ind w:left="2880" w:hanging="360"/>
      </w:pPr>
      <w:rPr>
        <w:rFonts w:ascii="Symbol" w:hAnsi="Symbol" w:hint="default"/>
      </w:rPr>
    </w:lvl>
    <w:lvl w:ilvl="4" w:tplc="EEB2B4AA" w:tentative="1">
      <w:start w:val="1"/>
      <w:numFmt w:val="bullet"/>
      <w:lvlText w:val="o"/>
      <w:lvlJc w:val="left"/>
      <w:pPr>
        <w:ind w:left="3600" w:hanging="360"/>
      </w:pPr>
      <w:rPr>
        <w:rFonts w:ascii="Courier New" w:hAnsi="Courier New" w:hint="default"/>
      </w:rPr>
    </w:lvl>
    <w:lvl w:ilvl="5" w:tplc="94980152" w:tentative="1">
      <w:start w:val="1"/>
      <w:numFmt w:val="bullet"/>
      <w:lvlText w:val=""/>
      <w:lvlJc w:val="left"/>
      <w:pPr>
        <w:ind w:left="4320" w:hanging="360"/>
      </w:pPr>
      <w:rPr>
        <w:rFonts w:ascii="Wingdings" w:hAnsi="Wingdings" w:hint="default"/>
      </w:rPr>
    </w:lvl>
    <w:lvl w:ilvl="6" w:tplc="144E34FE" w:tentative="1">
      <w:start w:val="1"/>
      <w:numFmt w:val="bullet"/>
      <w:lvlText w:val=""/>
      <w:lvlJc w:val="left"/>
      <w:pPr>
        <w:ind w:left="5040" w:hanging="360"/>
      </w:pPr>
      <w:rPr>
        <w:rFonts w:ascii="Symbol" w:hAnsi="Symbol" w:hint="default"/>
      </w:rPr>
    </w:lvl>
    <w:lvl w:ilvl="7" w:tplc="81E0DD9A" w:tentative="1">
      <w:start w:val="1"/>
      <w:numFmt w:val="bullet"/>
      <w:lvlText w:val="o"/>
      <w:lvlJc w:val="left"/>
      <w:pPr>
        <w:ind w:left="5760" w:hanging="360"/>
      </w:pPr>
      <w:rPr>
        <w:rFonts w:ascii="Courier New" w:hAnsi="Courier New" w:hint="default"/>
      </w:rPr>
    </w:lvl>
    <w:lvl w:ilvl="8" w:tplc="0590AE4E" w:tentative="1">
      <w:start w:val="1"/>
      <w:numFmt w:val="bullet"/>
      <w:lvlText w:val=""/>
      <w:lvlJc w:val="left"/>
      <w:pPr>
        <w:ind w:left="6480" w:hanging="360"/>
      </w:pPr>
      <w:rPr>
        <w:rFonts w:ascii="Wingdings" w:hAnsi="Wingdings" w:hint="default"/>
      </w:rPr>
    </w:lvl>
  </w:abstractNum>
  <w:abstractNum w:abstractNumId="16">
    <w:nsid w:val="693B48D9"/>
    <w:multiLevelType w:val="hybridMultilevel"/>
    <w:tmpl w:val="EEFA74DE"/>
    <w:lvl w:ilvl="0" w:tplc="014041CC">
      <w:start w:val="1"/>
      <w:numFmt w:val="upperLetter"/>
      <w:pStyle w:val="Heading2"/>
      <w:lvlText w:val="%1."/>
      <w:lvlJc w:val="left"/>
      <w:pPr>
        <w:ind w:left="720" w:hanging="360"/>
      </w:pPr>
      <w:rPr>
        <w:rFonts w:cs="Times New Roman" w:hint="default"/>
      </w:rPr>
    </w:lvl>
    <w:lvl w:ilvl="1" w:tplc="9DFAEF5E" w:tentative="1">
      <w:start w:val="1"/>
      <w:numFmt w:val="lowerLetter"/>
      <w:lvlText w:val="%2."/>
      <w:lvlJc w:val="left"/>
      <w:pPr>
        <w:ind w:left="1440" w:hanging="360"/>
      </w:pPr>
      <w:rPr>
        <w:rFonts w:cs="Times New Roman"/>
      </w:rPr>
    </w:lvl>
    <w:lvl w:ilvl="2" w:tplc="94E46AC2" w:tentative="1">
      <w:start w:val="1"/>
      <w:numFmt w:val="lowerRoman"/>
      <w:lvlText w:val="%3."/>
      <w:lvlJc w:val="right"/>
      <w:pPr>
        <w:ind w:left="2160" w:hanging="180"/>
      </w:pPr>
      <w:rPr>
        <w:rFonts w:cs="Times New Roman"/>
      </w:rPr>
    </w:lvl>
    <w:lvl w:ilvl="3" w:tplc="FAEA6BE8" w:tentative="1">
      <w:start w:val="1"/>
      <w:numFmt w:val="decimal"/>
      <w:lvlText w:val="%4."/>
      <w:lvlJc w:val="left"/>
      <w:pPr>
        <w:ind w:left="2880" w:hanging="360"/>
      </w:pPr>
      <w:rPr>
        <w:rFonts w:cs="Times New Roman"/>
      </w:rPr>
    </w:lvl>
    <w:lvl w:ilvl="4" w:tplc="31028CB4" w:tentative="1">
      <w:start w:val="1"/>
      <w:numFmt w:val="lowerLetter"/>
      <w:lvlText w:val="%5."/>
      <w:lvlJc w:val="left"/>
      <w:pPr>
        <w:ind w:left="3600" w:hanging="360"/>
      </w:pPr>
      <w:rPr>
        <w:rFonts w:cs="Times New Roman"/>
      </w:rPr>
    </w:lvl>
    <w:lvl w:ilvl="5" w:tplc="69D8FF5C" w:tentative="1">
      <w:start w:val="1"/>
      <w:numFmt w:val="lowerRoman"/>
      <w:lvlText w:val="%6."/>
      <w:lvlJc w:val="right"/>
      <w:pPr>
        <w:ind w:left="4320" w:hanging="180"/>
      </w:pPr>
      <w:rPr>
        <w:rFonts w:cs="Times New Roman"/>
      </w:rPr>
    </w:lvl>
    <w:lvl w:ilvl="6" w:tplc="24BEE8E4" w:tentative="1">
      <w:start w:val="1"/>
      <w:numFmt w:val="decimal"/>
      <w:lvlText w:val="%7."/>
      <w:lvlJc w:val="left"/>
      <w:pPr>
        <w:ind w:left="5040" w:hanging="360"/>
      </w:pPr>
      <w:rPr>
        <w:rFonts w:cs="Times New Roman"/>
      </w:rPr>
    </w:lvl>
    <w:lvl w:ilvl="7" w:tplc="FF1EEE8E" w:tentative="1">
      <w:start w:val="1"/>
      <w:numFmt w:val="lowerLetter"/>
      <w:lvlText w:val="%8."/>
      <w:lvlJc w:val="left"/>
      <w:pPr>
        <w:ind w:left="5760" w:hanging="360"/>
      </w:pPr>
      <w:rPr>
        <w:rFonts w:cs="Times New Roman"/>
      </w:rPr>
    </w:lvl>
    <w:lvl w:ilvl="8" w:tplc="60AC29BE" w:tentative="1">
      <w:start w:val="1"/>
      <w:numFmt w:val="lowerRoman"/>
      <w:lvlText w:val="%9."/>
      <w:lvlJc w:val="right"/>
      <w:pPr>
        <w:ind w:left="6480" w:hanging="180"/>
      </w:pPr>
      <w:rPr>
        <w:rFonts w:cs="Times New Roman"/>
      </w:rPr>
    </w:lvl>
  </w:abstractNum>
  <w:abstractNum w:abstractNumId="17">
    <w:nsid w:val="7ABD7FA1"/>
    <w:multiLevelType w:val="hybridMultilevel"/>
    <w:tmpl w:val="24C061BA"/>
    <w:lvl w:ilvl="0" w:tplc="5748C9A0">
      <w:start w:val="1"/>
      <w:numFmt w:val="decimal"/>
      <w:lvlText w:val="%1."/>
      <w:lvlJc w:val="left"/>
      <w:pPr>
        <w:ind w:left="1890" w:hanging="360"/>
      </w:pPr>
      <w:rPr>
        <w:rFonts w:cs="Times New Roman"/>
      </w:rPr>
    </w:lvl>
    <w:lvl w:ilvl="1" w:tplc="AC52543A">
      <w:start w:val="1"/>
      <w:numFmt w:val="lowerLetter"/>
      <w:lvlText w:val="%2."/>
      <w:lvlJc w:val="left"/>
      <w:pPr>
        <w:ind w:left="2520" w:hanging="360"/>
      </w:pPr>
      <w:rPr>
        <w:rFonts w:cs="Times New Roman"/>
      </w:rPr>
    </w:lvl>
    <w:lvl w:ilvl="2" w:tplc="C58AE85E" w:tentative="1">
      <w:start w:val="1"/>
      <w:numFmt w:val="lowerRoman"/>
      <w:lvlText w:val="%3."/>
      <w:lvlJc w:val="right"/>
      <w:pPr>
        <w:ind w:left="3240" w:hanging="180"/>
      </w:pPr>
      <w:rPr>
        <w:rFonts w:cs="Times New Roman"/>
      </w:rPr>
    </w:lvl>
    <w:lvl w:ilvl="3" w:tplc="1F1AAAFA" w:tentative="1">
      <w:start w:val="1"/>
      <w:numFmt w:val="decimal"/>
      <w:lvlText w:val="%4."/>
      <w:lvlJc w:val="left"/>
      <w:pPr>
        <w:ind w:left="3960" w:hanging="360"/>
      </w:pPr>
      <w:rPr>
        <w:rFonts w:cs="Times New Roman"/>
      </w:rPr>
    </w:lvl>
    <w:lvl w:ilvl="4" w:tplc="B44A2ED0" w:tentative="1">
      <w:start w:val="1"/>
      <w:numFmt w:val="lowerLetter"/>
      <w:lvlText w:val="%5."/>
      <w:lvlJc w:val="left"/>
      <w:pPr>
        <w:ind w:left="4680" w:hanging="360"/>
      </w:pPr>
      <w:rPr>
        <w:rFonts w:cs="Times New Roman"/>
      </w:rPr>
    </w:lvl>
    <w:lvl w:ilvl="5" w:tplc="2E4800F0" w:tentative="1">
      <w:start w:val="1"/>
      <w:numFmt w:val="lowerRoman"/>
      <w:lvlText w:val="%6."/>
      <w:lvlJc w:val="right"/>
      <w:pPr>
        <w:ind w:left="5400" w:hanging="180"/>
      </w:pPr>
      <w:rPr>
        <w:rFonts w:cs="Times New Roman"/>
      </w:rPr>
    </w:lvl>
    <w:lvl w:ilvl="6" w:tplc="5798B4DA" w:tentative="1">
      <w:start w:val="1"/>
      <w:numFmt w:val="decimal"/>
      <w:lvlText w:val="%7."/>
      <w:lvlJc w:val="left"/>
      <w:pPr>
        <w:ind w:left="6120" w:hanging="360"/>
      </w:pPr>
      <w:rPr>
        <w:rFonts w:cs="Times New Roman"/>
      </w:rPr>
    </w:lvl>
    <w:lvl w:ilvl="7" w:tplc="851290F4" w:tentative="1">
      <w:start w:val="1"/>
      <w:numFmt w:val="lowerLetter"/>
      <w:lvlText w:val="%8."/>
      <w:lvlJc w:val="left"/>
      <w:pPr>
        <w:ind w:left="6840" w:hanging="360"/>
      </w:pPr>
      <w:rPr>
        <w:rFonts w:cs="Times New Roman"/>
      </w:rPr>
    </w:lvl>
    <w:lvl w:ilvl="8" w:tplc="8C981B88" w:tentative="1">
      <w:start w:val="1"/>
      <w:numFmt w:val="lowerRoman"/>
      <w:lvlText w:val="%9."/>
      <w:lvlJc w:val="right"/>
      <w:pPr>
        <w:ind w:left="7560" w:hanging="180"/>
      </w:pPr>
      <w:rPr>
        <w:rFonts w:cs="Times New Roman"/>
      </w:rPr>
    </w:lvl>
  </w:abstractNum>
  <w:num w:numId="1">
    <w:abstractNumId w:val="17"/>
  </w:num>
  <w:num w:numId="2">
    <w:abstractNumId w:val="12"/>
  </w:num>
  <w:num w:numId="3">
    <w:abstractNumId w:val="13"/>
  </w:num>
  <w:num w:numId="4">
    <w:abstractNumId w:val="10"/>
  </w:num>
  <w:num w:numId="5">
    <w:abstractNumId w:val="9"/>
  </w:num>
  <w:num w:numId="6">
    <w:abstractNumId w:val="14"/>
  </w:num>
  <w:num w:numId="7">
    <w:abstractNumId w:val="8"/>
  </w:num>
  <w:num w:numId="8">
    <w:abstractNumId w:val="7"/>
  </w:num>
  <w:num w:numId="9">
    <w:abstractNumId w:val="2"/>
  </w:num>
  <w:num w:numId="10">
    <w:abstractNumId w:val="4"/>
  </w:num>
  <w:num w:numId="11">
    <w:abstractNumId w:val="14"/>
    <w:lvlOverride w:ilvl="0">
      <w:startOverride w:val="1"/>
    </w:lvlOverride>
  </w:num>
  <w:num w:numId="12">
    <w:abstractNumId w:val="6"/>
  </w:num>
  <w:num w:numId="13">
    <w:abstractNumId w:val="0"/>
  </w:num>
  <w:num w:numId="14">
    <w:abstractNumId w:val="3"/>
  </w:num>
  <w:num w:numId="15">
    <w:abstractNumId w:val="11"/>
  </w:num>
  <w:num w:numId="16">
    <w:abstractNumId w:val="1"/>
  </w:num>
  <w:num w:numId="17">
    <w:abstractNumId w:val="16"/>
  </w:num>
  <w:num w:numId="18">
    <w:abstractNumId w:val="16"/>
    <w:lvlOverride w:ilvl="0">
      <w:startOverride w:val="1"/>
    </w:lvlOverride>
  </w:num>
  <w:num w:numId="19">
    <w:abstractNumId w:val="5"/>
  </w:num>
  <w:num w:numId="20">
    <w:abstractNumId w:val="15"/>
  </w:num>
  <w:num w:numId="21">
    <w:abstractNumId w:val="16"/>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52"/>
    <w:rsid w:val="0001378E"/>
    <w:rsid w:val="000B5E78"/>
    <w:rsid w:val="000B7452"/>
    <w:rsid w:val="000C4ABA"/>
    <w:rsid w:val="000E419B"/>
    <w:rsid w:val="000F7346"/>
    <w:rsid w:val="00174C26"/>
    <w:rsid w:val="001753CE"/>
    <w:rsid w:val="001933DC"/>
    <w:rsid w:val="001A26EA"/>
    <w:rsid w:val="001D35B0"/>
    <w:rsid w:val="001F455D"/>
    <w:rsid w:val="001F5E84"/>
    <w:rsid w:val="00204B43"/>
    <w:rsid w:val="00217B2E"/>
    <w:rsid w:val="00223D5F"/>
    <w:rsid w:val="002512EC"/>
    <w:rsid w:val="002A49E9"/>
    <w:rsid w:val="002D4B43"/>
    <w:rsid w:val="002F561D"/>
    <w:rsid w:val="003035FB"/>
    <w:rsid w:val="003113B5"/>
    <w:rsid w:val="00342304"/>
    <w:rsid w:val="00342811"/>
    <w:rsid w:val="00387219"/>
    <w:rsid w:val="003F7205"/>
    <w:rsid w:val="00460F52"/>
    <w:rsid w:val="004614FB"/>
    <w:rsid w:val="00477134"/>
    <w:rsid w:val="004935AC"/>
    <w:rsid w:val="004F3D8D"/>
    <w:rsid w:val="005144F6"/>
    <w:rsid w:val="00522362"/>
    <w:rsid w:val="00522CDA"/>
    <w:rsid w:val="00534AC4"/>
    <w:rsid w:val="00543AC4"/>
    <w:rsid w:val="005C0549"/>
    <w:rsid w:val="005C5EE0"/>
    <w:rsid w:val="00600170"/>
    <w:rsid w:val="00685B00"/>
    <w:rsid w:val="006A4857"/>
    <w:rsid w:val="006C38CD"/>
    <w:rsid w:val="006C5736"/>
    <w:rsid w:val="006D5C16"/>
    <w:rsid w:val="00721092"/>
    <w:rsid w:val="00744871"/>
    <w:rsid w:val="00751051"/>
    <w:rsid w:val="007627E2"/>
    <w:rsid w:val="008108A7"/>
    <w:rsid w:val="0082128A"/>
    <w:rsid w:val="008220B4"/>
    <w:rsid w:val="00861394"/>
    <w:rsid w:val="008870BB"/>
    <w:rsid w:val="008C2F9C"/>
    <w:rsid w:val="008D1A6D"/>
    <w:rsid w:val="009176C2"/>
    <w:rsid w:val="009527A4"/>
    <w:rsid w:val="00962EDD"/>
    <w:rsid w:val="009703FE"/>
    <w:rsid w:val="009831DC"/>
    <w:rsid w:val="00987E93"/>
    <w:rsid w:val="009D2852"/>
    <w:rsid w:val="009E5D7B"/>
    <w:rsid w:val="009E7FCD"/>
    <w:rsid w:val="00A22828"/>
    <w:rsid w:val="00A855D0"/>
    <w:rsid w:val="00AC10D1"/>
    <w:rsid w:val="00AF305B"/>
    <w:rsid w:val="00B35146"/>
    <w:rsid w:val="00B4191B"/>
    <w:rsid w:val="00B44AF2"/>
    <w:rsid w:val="00B500AD"/>
    <w:rsid w:val="00BD26C5"/>
    <w:rsid w:val="00BD3420"/>
    <w:rsid w:val="00BE14BD"/>
    <w:rsid w:val="00C63DF3"/>
    <w:rsid w:val="00C86ED8"/>
    <w:rsid w:val="00C95EFC"/>
    <w:rsid w:val="00CD44A8"/>
    <w:rsid w:val="00D574FF"/>
    <w:rsid w:val="00D60A6D"/>
    <w:rsid w:val="00D918D2"/>
    <w:rsid w:val="00DA238A"/>
    <w:rsid w:val="00DC3DC9"/>
    <w:rsid w:val="00E07E04"/>
    <w:rsid w:val="00E24D8D"/>
    <w:rsid w:val="00E53179"/>
    <w:rsid w:val="00E74A40"/>
    <w:rsid w:val="00E82249"/>
    <w:rsid w:val="00EA699D"/>
    <w:rsid w:val="00ED678E"/>
    <w:rsid w:val="00F65B7E"/>
    <w:rsid w:val="00F8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pPr>
      <w:keepNext/>
      <w:numPr>
        <w:numId w:val="2"/>
      </w:numPr>
      <w:tabs>
        <w:tab w:val="left" w:pos="1080"/>
      </w:tabs>
      <w:outlineLvl w:val="0"/>
    </w:pPr>
    <w:rPr>
      <w:b/>
      <w:sz w:val="28"/>
    </w:rPr>
  </w:style>
  <w:style w:type="paragraph" w:styleId="Heading2">
    <w:name w:val="heading 2"/>
    <w:basedOn w:val="Normal"/>
    <w:next w:val="Normal"/>
    <w:link w:val="Heading2Char"/>
    <w:uiPriority w:val="99"/>
    <w:qFormat/>
    <w:pPr>
      <w:keepNext/>
      <w:numPr>
        <w:numId w:val="17"/>
      </w:numPr>
      <w:tabs>
        <w:tab w:val="left" w:pos="1080"/>
      </w:tabs>
      <w:outlineLvl w:val="1"/>
    </w:pPr>
    <w:rPr>
      <w:b/>
      <w:sz w:val="24"/>
    </w:rPr>
  </w:style>
  <w:style w:type="paragraph" w:styleId="Heading3">
    <w:name w:val="heading 3"/>
    <w:basedOn w:val="Normal"/>
    <w:next w:val="Normal"/>
    <w:link w:val="Heading3Char"/>
    <w:uiPriority w:val="99"/>
    <w:qFormat/>
    <w:pPr>
      <w:keepNext/>
      <w:numPr>
        <w:numId w:val="6"/>
      </w:numPr>
      <w:ind w:left="1440"/>
      <w:outlineLvl w:val="2"/>
    </w:pPr>
    <w:rPr>
      <w:b/>
      <w:sz w:val="22"/>
    </w:rPr>
  </w:style>
  <w:style w:type="paragraph" w:styleId="Heading4">
    <w:name w:val="heading 4"/>
    <w:basedOn w:val="Normal"/>
    <w:next w:val="Normal"/>
    <w:link w:val="Heading4Char"/>
    <w:uiPriority w:val="99"/>
    <w:qFormat/>
    <w:pPr>
      <w:keepNext/>
      <w:jc w:val="center"/>
      <w:outlineLvl w:val="3"/>
    </w:pPr>
    <w:rPr>
      <w:u w:val="single"/>
    </w:rPr>
  </w:style>
  <w:style w:type="paragraph" w:styleId="Heading5">
    <w:name w:val="heading 5"/>
    <w:basedOn w:val="Normal"/>
    <w:next w:val="Normal"/>
    <w:link w:val="Heading5Char"/>
    <w:uiPriority w:val="99"/>
    <w:qFormat/>
    <w:pPr>
      <w:keepNext/>
      <w:numPr>
        <w:numId w:val="5"/>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rPr>
  </w:style>
  <w:style w:type="paragraph" w:styleId="Heading7">
    <w:name w:val="heading 7"/>
    <w:basedOn w:val="Normal"/>
    <w:next w:val="Normal"/>
    <w:link w:val="Heading7Char"/>
    <w:uiPriority w:val="99"/>
    <w:qFormat/>
    <w:pPr>
      <w:keepNext/>
      <w:ind w:left="720"/>
      <w:outlineLvl w:val="6"/>
    </w:pPr>
  </w:style>
  <w:style w:type="paragraph" w:styleId="Heading8">
    <w:name w:val="heading 8"/>
    <w:basedOn w:val="Normal"/>
    <w:next w:val="Normal"/>
    <w:link w:val="Heading8Char"/>
    <w:uiPriority w:val="99"/>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Pr>
      <w:rFonts w:ascii="Times New Roman" w:hAnsi="Times New Roman" w:cs="Times New Roman"/>
      <w:sz w:val="20"/>
      <w:szCs w:val="20"/>
      <w:u w:val="single"/>
    </w:rPr>
  </w:style>
  <w:style w:type="character" w:customStyle="1" w:styleId="Heading5Char">
    <w:name w:val="Heading 5 Char"/>
    <w:basedOn w:val="DefaultParagraphFont"/>
    <w:link w:val="Heading5"/>
    <w:uiPriority w:val="99"/>
    <w:locked/>
    <w:rPr>
      <w:rFonts w:ascii="Times New Roman" w:hAnsi="Times New Roman" w:cs="Times New Roman"/>
      <w:sz w:val="20"/>
      <w:szCs w:val="20"/>
      <w:u w:val="single"/>
      <w:lang w:val="en-GB"/>
    </w:rPr>
  </w:style>
  <w:style w:type="character" w:customStyle="1" w:styleId="Heading6Char">
    <w:name w:val="Heading 6 Char"/>
    <w:basedOn w:val="DefaultParagraphFont"/>
    <w:link w:val="Heading6"/>
    <w:uiPriority w:val="99"/>
    <w:locked/>
    <w:rPr>
      <w:rFonts w:ascii="Arial" w:hAnsi="Arial" w:cs="Times New Roman"/>
      <w:b/>
      <w:sz w:val="20"/>
      <w:szCs w:val="20"/>
    </w:rPr>
  </w:style>
  <w:style w:type="character" w:customStyle="1" w:styleId="Heading7Char">
    <w:name w:val="Heading 7 Char"/>
    <w:basedOn w:val="DefaultParagraphFont"/>
    <w:link w:val="Heading7"/>
    <w:uiPriority w:val="99"/>
    <w:locked/>
    <w:rPr>
      <w:rFonts w:ascii="Times New Roman" w:hAnsi="Times New Roman" w:cs="Times New Roman"/>
      <w:sz w:val="20"/>
      <w:szCs w:val="20"/>
      <w:lang w:val="en-GB"/>
    </w:rPr>
  </w:style>
  <w:style w:type="character" w:customStyle="1" w:styleId="Heading8Char">
    <w:name w:val="Heading 8 Char"/>
    <w:basedOn w:val="DefaultParagraphFont"/>
    <w:link w:val="Heading8"/>
    <w:uiPriority w:val="99"/>
    <w:locked/>
    <w:rPr>
      <w:rFonts w:ascii="Times New Roman" w:hAnsi="Times New Roman" w:cs="Times New Roman"/>
      <w:i/>
      <w:sz w:val="20"/>
      <w:szCs w:val="20"/>
      <w:lang w:val="en-GB"/>
    </w:rPr>
  </w:style>
  <w:style w:type="paragraph" w:styleId="TOC1">
    <w:name w:val="toc 1"/>
    <w:basedOn w:val="Normal"/>
    <w:next w:val="Normal"/>
    <w:autoRedefine/>
    <w:uiPriority w:val="99"/>
    <w:pPr>
      <w:tabs>
        <w:tab w:val="right" w:leader="dot" w:pos="9350"/>
      </w:tabs>
      <w:spacing w:after="120"/>
      <w:ind w:left="634" w:hanging="634"/>
    </w:pPr>
    <w:rPr>
      <w:noProof/>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widowControl w:val="0"/>
    </w:p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99"/>
    <w:locked/>
    <w:rPr>
      <w:rFonts w:ascii="Times New Roman" w:hAnsi="Times New Roman" w:cs="Times New Roman"/>
      <w:b/>
      <w:sz w:val="20"/>
      <w:szCs w:val="20"/>
      <w:lang w:val="en-GB"/>
    </w:rPr>
  </w:style>
  <w:style w:type="paragraph" w:styleId="TOC2">
    <w:name w:val="toc 2"/>
    <w:basedOn w:val="Normal"/>
    <w:next w:val="Normal"/>
    <w:autoRedefine/>
    <w:uiPriority w:val="99"/>
    <w:pPr>
      <w:tabs>
        <w:tab w:val="left" w:pos="630"/>
        <w:tab w:val="right" w:leader="dot" w:pos="9350"/>
      </w:tabs>
      <w:ind w:left="200"/>
    </w:pPr>
    <w:rPr>
      <w:noProof/>
    </w:rPr>
  </w:style>
  <w:style w:type="paragraph" w:styleId="TOC3">
    <w:name w:val="toc 3"/>
    <w:basedOn w:val="Normal"/>
    <w:next w:val="Normal"/>
    <w:autoRedefine/>
    <w:uiPriority w:val="99"/>
    <w:pPr>
      <w:tabs>
        <w:tab w:val="left" w:pos="1800"/>
        <w:tab w:val="right" w:leader="dot" w:pos="9350"/>
      </w:tabs>
      <w:ind w:left="1260" w:hanging="860"/>
    </w:pPr>
    <w:rPr>
      <w:noProof/>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lang w:val="en-GB"/>
    </w:rPr>
  </w:style>
  <w:style w:type="paragraph" w:styleId="BodyText3">
    <w:name w:val="Body Text 3"/>
    <w:basedOn w:val="Normal"/>
    <w:link w:val="BodyText3Char"/>
    <w:uiPriority w:val="99"/>
    <w:pPr>
      <w:widowControl w:val="0"/>
      <w:jc w:val="both"/>
    </w:pPr>
  </w:style>
  <w:style w:type="character" w:customStyle="1" w:styleId="BodyText3Char">
    <w:name w:val="Body Text 3 Char"/>
    <w:basedOn w:val="DefaultParagraphFont"/>
    <w:link w:val="BodyText3"/>
    <w:uiPriority w:val="99"/>
    <w:locked/>
    <w:rPr>
      <w:rFonts w:ascii="Times New Roman" w:hAnsi="Times New Roman" w:cs="Times New Roman"/>
      <w:snapToGrid w:val="0"/>
      <w:sz w:val="20"/>
      <w:szCs w:val="20"/>
      <w:lang w:val="en-GB"/>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locked/>
    <w:rPr>
      <w:rFonts w:ascii="Times New Roman" w:hAnsi="Times New Roman" w:cs="Times New Roman"/>
      <w:sz w:val="20"/>
      <w:szCs w:val="20"/>
      <w:u w:val="single"/>
      <w:lang w:val="en-GB"/>
    </w:rPr>
  </w:style>
  <w:style w:type="paragraph" w:styleId="BodyText">
    <w:name w:val="Body Text"/>
    <w:basedOn w:val="Normal"/>
    <w:link w:val="BodyTextChar"/>
    <w:uiPriority w:val="99"/>
    <w:pPr>
      <w:spacing w:line="480" w:lineRule="auto"/>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0"/>
      <w:szCs w:val="20"/>
      <w:lang w:val="en-GB"/>
    </w:rPr>
  </w:style>
  <w:style w:type="character" w:styleId="CommentReference">
    <w:name w:val="annotation reference"/>
    <w:basedOn w:val="DefaultParagraphFont"/>
    <w:uiPriority w:val="99"/>
    <w:semiHidden/>
    <w:rPr>
      <w:rFonts w:cs="Times New Roman"/>
      <w:sz w:val="16"/>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styleId="BodyTextIndent3">
    <w:name w:val="Body Text Indent 3"/>
    <w:basedOn w:val="Normal"/>
    <w:link w:val="BodyTextIndent3Char"/>
    <w:uiPriority w:val="99"/>
    <w:pPr>
      <w:ind w:left="720"/>
    </w:pPr>
    <w:rPr>
      <w:i/>
    </w:rPr>
  </w:style>
  <w:style w:type="character" w:customStyle="1" w:styleId="BodyTextIndent3Char">
    <w:name w:val="Body Text Indent 3 Char"/>
    <w:basedOn w:val="DefaultParagraphFont"/>
    <w:link w:val="BodyTextIndent3"/>
    <w:uiPriority w:val="99"/>
    <w:locked/>
    <w:rPr>
      <w:rFonts w:ascii="Times New Roman" w:hAnsi="Times New Roman" w:cs="Times New Roman"/>
      <w:i/>
      <w:sz w:val="20"/>
      <w:szCs w:val="20"/>
      <w:lang w:val="en-GB"/>
    </w:rPr>
  </w:style>
  <w:style w:type="paragraph" w:styleId="CommentText">
    <w:name w:val="annotation text"/>
    <w:basedOn w:val="Normal"/>
    <w:link w:val="CommentTextChar"/>
    <w:uiPriority w:val="99"/>
    <w:semiHidden/>
    <w:pPr>
      <w:widowControl w:val="0"/>
    </w:pPr>
  </w:style>
  <w:style w:type="character" w:customStyle="1" w:styleId="CommentTextChar">
    <w:name w:val="Comment Text Char"/>
    <w:basedOn w:val="DefaultParagraphFont"/>
    <w:link w:val="CommentText"/>
    <w:uiPriority w:val="99"/>
    <w:semiHidden/>
    <w:locked/>
    <w:rPr>
      <w:rFonts w:ascii="Times New Roman" w:hAnsi="Times New Roman" w:cs="Times New Roman"/>
      <w:snapToGrid w:val="0"/>
      <w:sz w:val="20"/>
      <w:szCs w:val="20"/>
    </w:rPr>
  </w:style>
  <w:style w:type="paragraph" w:styleId="ListParagraph">
    <w:name w:val="List Paragraph"/>
    <w:basedOn w:val="Normal"/>
    <w:link w:val="ListParagraphChar"/>
    <w:uiPriority w:val="99"/>
    <w:qFormat/>
    <w:pPr>
      <w:spacing w:line="276" w:lineRule="auto"/>
      <w:ind w:left="1440"/>
      <w:contextualSpacing/>
    </w:pPr>
    <w:rPr>
      <w:rFonts w:eastAsia="Calibri"/>
    </w:r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pPr>
      <w:jc w:val="center"/>
    </w:pPr>
    <w:rPr>
      <w:b/>
      <w:szCs w:val="28"/>
    </w:rPr>
  </w:style>
  <w:style w:type="character" w:customStyle="1" w:styleId="SubtitleChar">
    <w:name w:val="Subtitle Char"/>
    <w:basedOn w:val="DefaultParagraphFont"/>
    <w:link w:val="Subtitle"/>
    <w:uiPriority w:val="99"/>
    <w:locked/>
    <w:rPr>
      <w:rFonts w:ascii="Times New Roman" w:hAnsi="Times New Roman" w:cs="Times New Roman"/>
      <w:b/>
      <w:sz w:val="28"/>
      <w:szCs w:val="28"/>
    </w:rPr>
  </w:style>
  <w:style w:type="paragraph" w:customStyle="1" w:styleId="xl24">
    <w:name w:val="xl24"/>
    <w:basedOn w:val="Normal"/>
    <w:uiPriority w:val="99"/>
    <w:pPr>
      <w:spacing w:before="100" w:after="100"/>
    </w:pPr>
    <w:rPr>
      <w:rFonts w:ascii="Arial Unicode MS" w:eastAsia="Arial Unicode MS" w:hAnsi="Arial Unicode MS"/>
      <w:sz w:val="16"/>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pPr>
      <w:widowControl/>
    </w:pPr>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napToGrid w:val="0"/>
      <w:sz w:val="2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Pr>
      <w:rFonts w:ascii="Times New Roman" w:hAnsi="Times New Roman" w:cs="Times New Roman"/>
      <w:sz w:val="20"/>
      <w:szCs w:val="20"/>
      <w:lang w:val="en-GB"/>
    </w:rPr>
  </w:style>
  <w:style w:type="character" w:styleId="EndnoteReference">
    <w:name w:val="endnote reference"/>
    <w:basedOn w:val="DefaultParagraphFont"/>
    <w:uiPriority w:val="99"/>
    <w:rPr>
      <w:rFonts w:cs="Times New Roman"/>
      <w:vertAlign w:val="superscript"/>
    </w:rPr>
  </w:style>
  <w:style w:type="character" w:customStyle="1" w:styleId="ti">
    <w:name w:val="ti"/>
    <w:uiPriority w:val="99"/>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color w:val="575349"/>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Pr>
      <w:rFonts w:ascii="Courier New" w:hAnsi="Courier New" w:cs="Times New Roman"/>
      <w:sz w:val="20"/>
      <w:szCs w:val="20"/>
    </w:rPr>
  </w:style>
  <w:style w:type="paragraph" w:styleId="NoSpacing">
    <w:name w:val="No Spacing"/>
    <w:link w:val="NoSpacingChar"/>
    <w:uiPriority w:val="99"/>
    <w:qFormat/>
    <w:pPr>
      <w:spacing w:after="200" w:line="276" w:lineRule="auto"/>
    </w:pPr>
  </w:style>
  <w:style w:type="character" w:styleId="Emphasis">
    <w:name w:val="Emphasis"/>
    <w:basedOn w:val="DefaultParagraphFont"/>
    <w:uiPriority w:val="99"/>
    <w:qFormat/>
    <w:rPr>
      <w:rFonts w:cs="Times New Roman"/>
      <w:i/>
    </w:rPr>
  </w:style>
  <w:style w:type="character" w:customStyle="1" w:styleId="reportbody1">
    <w:name w:val="reportbody1"/>
    <w:uiPriority w:val="99"/>
    <w:rPr>
      <w:rFonts w:ascii="Tahoma" w:hAnsi="Tahoma"/>
      <w:color w:val="000000"/>
      <w:sz w:val="11"/>
    </w:rPr>
  </w:style>
  <w:style w:type="paragraph" w:customStyle="1" w:styleId="MediumGrid1-Accent21">
    <w:name w:val="Medium Grid 1 - Accent 21"/>
    <w:basedOn w:val="Normal"/>
    <w:uiPriority w:val="99"/>
    <w:pPr>
      <w:spacing w:after="200" w:line="276" w:lineRule="auto"/>
      <w:ind w:left="720"/>
      <w:contextualSpacing/>
    </w:pPr>
    <w:rPr>
      <w:rFonts w:ascii="Calibri" w:eastAsia="Calibri" w:hAnsi="Calibri"/>
      <w:sz w:val="22"/>
      <w:szCs w:val="22"/>
    </w:rPr>
  </w:style>
  <w:style w:type="paragraph" w:styleId="List">
    <w:name w:val="List"/>
    <w:basedOn w:val="Normal"/>
    <w:uiPriority w:val="99"/>
    <w:pPr>
      <w:ind w:left="360" w:hanging="360"/>
    </w:pPr>
    <w:rPr>
      <w:szCs w:val="24"/>
    </w:rPr>
  </w:style>
  <w:style w:type="character" w:customStyle="1" w:styleId="A11">
    <w:name w:val="A11"/>
    <w:uiPriority w:val="99"/>
    <w:rPr>
      <w:color w:val="000000"/>
      <w:sz w:val="20"/>
    </w:rPr>
  </w:style>
  <w:style w:type="paragraph" w:customStyle="1" w:styleId="qHeadText">
    <w:name w:val="qHeadText"/>
    <w:basedOn w:val="Normal"/>
    <w:uiPriority w:val="99"/>
    <w:rPr>
      <w:i/>
      <w:sz w:val="22"/>
      <w:szCs w:val="24"/>
      <w:lang w:eastAsia="zh-CN"/>
    </w:rPr>
  </w:style>
  <w:style w:type="paragraph" w:customStyle="1" w:styleId="default0">
    <w:name w:val="default"/>
    <w:basedOn w:val="Normal"/>
    <w:uiPriority w:val="99"/>
    <w:pPr>
      <w:spacing w:before="100" w:beforeAutospacing="1" w:after="100" w:afterAutospacing="1"/>
    </w:pPr>
    <w:rPr>
      <w:szCs w:val="24"/>
    </w:rPr>
  </w:style>
  <w:style w:type="character" w:styleId="FollowedHyperlink">
    <w:name w:val="FollowedHyperlink"/>
    <w:basedOn w:val="DefaultParagraphFont"/>
    <w:uiPriority w:val="99"/>
    <w:rPr>
      <w:rFonts w:cs="Times New Roman"/>
      <w:color w:val="800080"/>
      <w:u w:val="single"/>
    </w:rPr>
  </w:style>
  <w:style w:type="paragraph" w:customStyle="1" w:styleId="DualTxt">
    <w:name w:val="__Dual Txt"/>
    <w:basedOn w:val="Normal"/>
    <w:uiPriority w:val="9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style>
  <w:style w:type="paragraph" w:customStyle="1" w:styleId="Subtitle1">
    <w:name w:val="Subtitle1"/>
    <w:uiPriority w:val="99"/>
    <w:pPr>
      <w:jc w:val="center"/>
    </w:pPr>
    <w:rPr>
      <w:rFonts w:ascii="Times New Roman Bold" w:hAnsi="Times New Roman Bold"/>
      <w:color w:val="000000"/>
      <w:sz w:val="24"/>
      <w:szCs w:val="20"/>
    </w:rPr>
  </w:style>
  <w:style w:type="paragraph" w:customStyle="1" w:styleId="H23">
    <w:name w:val="_ H_2/3"/>
    <w:basedOn w:val="Normal"/>
    <w:next w:val="Normal"/>
    <w:uiPriority w:val="99"/>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99"/>
    <w:locked/>
    <w:rPr>
      <w:rFonts w:ascii="Times New Roman" w:eastAsia="Times New Roman" w:hAnsi="Times New Roman"/>
      <w:sz w:val="20"/>
      <w:lang w:val="en-GB"/>
    </w:rPr>
  </w:style>
  <w:style w:type="table" w:customStyle="1" w:styleId="TableGrid1">
    <w:name w:val="Table Grid1"/>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Pr>
      <w:rFonts w:ascii="Calibri" w:eastAsia="Times New Roman" w:hAnsi="Calibr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pPr>
      <w:keepNext/>
      <w:numPr>
        <w:numId w:val="2"/>
      </w:numPr>
      <w:tabs>
        <w:tab w:val="left" w:pos="1080"/>
      </w:tabs>
      <w:outlineLvl w:val="0"/>
    </w:pPr>
    <w:rPr>
      <w:b/>
      <w:sz w:val="28"/>
    </w:rPr>
  </w:style>
  <w:style w:type="paragraph" w:styleId="Heading2">
    <w:name w:val="heading 2"/>
    <w:basedOn w:val="Normal"/>
    <w:next w:val="Normal"/>
    <w:link w:val="Heading2Char"/>
    <w:uiPriority w:val="99"/>
    <w:qFormat/>
    <w:pPr>
      <w:keepNext/>
      <w:numPr>
        <w:numId w:val="17"/>
      </w:numPr>
      <w:tabs>
        <w:tab w:val="left" w:pos="1080"/>
      </w:tabs>
      <w:outlineLvl w:val="1"/>
    </w:pPr>
    <w:rPr>
      <w:b/>
      <w:sz w:val="24"/>
    </w:rPr>
  </w:style>
  <w:style w:type="paragraph" w:styleId="Heading3">
    <w:name w:val="heading 3"/>
    <w:basedOn w:val="Normal"/>
    <w:next w:val="Normal"/>
    <w:link w:val="Heading3Char"/>
    <w:uiPriority w:val="99"/>
    <w:qFormat/>
    <w:pPr>
      <w:keepNext/>
      <w:numPr>
        <w:numId w:val="6"/>
      </w:numPr>
      <w:ind w:left="1440"/>
      <w:outlineLvl w:val="2"/>
    </w:pPr>
    <w:rPr>
      <w:b/>
      <w:sz w:val="22"/>
    </w:rPr>
  </w:style>
  <w:style w:type="paragraph" w:styleId="Heading4">
    <w:name w:val="heading 4"/>
    <w:basedOn w:val="Normal"/>
    <w:next w:val="Normal"/>
    <w:link w:val="Heading4Char"/>
    <w:uiPriority w:val="99"/>
    <w:qFormat/>
    <w:pPr>
      <w:keepNext/>
      <w:jc w:val="center"/>
      <w:outlineLvl w:val="3"/>
    </w:pPr>
    <w:rPr>
      <w:u w:val="single"/>
    </w:rPr>
  </w:style>
  <w:style w:type="paragraph" w:styleId="Heading5">
    <w:name w:val="heading 5"/>
    <w:basedOn w:val="Normal"/>
    <w:next w:val="Normal"/>
    <w:link w:val="Heading5Char"/>
    <w:uiPriority w:val="99"/>
    <w:qFormat/>
    <w:pPr>
      <w:keepNext/>
      <w:numPr>
        <w:numId w:val="5"/>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rPr>
  </w:style>
  <w:style w:type="paragraph" w:styleId="Heading7">
    <w:name w:val="heading 7"/>
    <w:basedOn w:val="Normal"/>
    <w:next w:val="Normal"/>
    <w:link w:val="Heading7Char"/>
    <w:uiPriority w:val="99"/>
    <w:qFormat/>
    <w:pPr>
      <w:keepNext/>
      <w:ind w:left="720"/>
      <w:outlineLvl w:val="6"/>
    </w:pPr>
  </w:style>
  <w:style w:type="paragraph" w:styleId="Heading8">
    <w:name w:val="heading 8"/>
    <w:basedOn w:val="Normal"/>
    <w:next w:val="Normal"/>
    <w:link w:val="Heading8Char"/>
    <w:uiPriority w:val="99"/>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Pr>
      <w:rFonts w:ascii="Times New Roman" w:hAnsi="Times New Roman" w:cs="Times New Roman"/>
      <w:sz w:val="20"/>
      <w:szCs w:val="20"/>
      <w:u w:val="single"/>
    </w:rPr>
  </w:style>
  <w:style w:type="character" w:customStyle="1" w:styleId="Heading5Char">
    <w:name w:val="Heading 5 Char"/>
    <w:basedOn w:val="DefaultParagraphFont"/>
    <w:link w:val="Heading5"/>
    <w:uiPriority w:val="99"/>
    <w:locked/>
    <w:rPr>
      <w:rFonts w:ascii="Times New Roman" w:hAnsi="Times New Roman" w:cs="Times New Roman"/>
      <w:sz w:val="20"/>
      <w:szCs w:val="20"/>
      <w:u w:val="single"/>
      <w:lang w:val="en-GB"/>
    </w:rPr>
  </w:style>
  <w:style w:type="character" w:customStyle="1" w:styleId="Heading6Char">
    <w:name w:val="Heading 6 Char"/>
    <w:basedOn w:val="DefaultParagraphFont"/>
    <w:link w:val="Heading6"/>
    <w:uiPriority w:val="99"/>
    <w:locked/>
    <w:rPr>
      <w:rFonts w:ascii="Arial" w:hAnsi="Arial" w:cs="Times New Roman"/>
      <w:b/>
      <w:sz w:val="20"/>
      <w:szCs w:val="20"/>
    </w:rPr>
  </w:style>
  <w:style w:type="character" w:customStyle="1" w:styleId="Heading7Char">
    <w:name w:val="Heading 7 Char"/>
    <w:basedOn w:val="DefaultParagraphFont"/>
    <w:link w:val="Heading7"/>
    <w:uiPriority w:val="99"/>
    <w:locked/>
    <w:rPr>
      <w:rFonts w:ascii="Times New Roman" w:hAnsi="Times New Roman" w:cs="Times New Roman"/>
      <w:sz w:val="20"/>
      <w:szCs w:val="20"/>
      <w:lang w:val="en-GB"/>
    </w:rPr>
  </w:style>
  <w:style w:type="character" w:customStyle="1" w:styleId="Heading8Char">
    <w:name w:val="Heading 8 Char"/>
    <w:basedOn w:val="DefaultParagraphFont"/>
    <w:link w:val="Heading8"/>
    <w:uiPriority w:val="99"/>
    <w:locked/>
    <w:rPr>
      <w:rFonts w:ascii="Times New Roman" w:hAnsi="Times New Roman" w:cs="Times New Roman"/>
      <w:i/>
      <w:sz w:val="20"/>
      <w:szCs w:val="20"/>
      <w:lang w:val="en-GB"/>
    </w:rPr>
  </w:style>
  <w:style w:type="paragraph" w:styleId="TOC1">
    <w:name w:val="toc 1"/>
    <w:basedOn w:val="Normal"/>
    <w:next w:val="Normal"/>
    <w:autoRedefine/>
    <w:uiPriority w:val="99"/>
    <w:pPr>
      <w:tabs>
        <w:tab w:val="right" w:leader="dot" w:pos="9350"/>
      </w:tabs>
      <w:spacing w:after="120"/>
      <w:ind w:left="634" w:hanging="634"/>
    </w:pPr>
    <w:rPr>
      <w:noProof/>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widowControl w:val="0"/>
    </w:p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99"/>
    <w:locked/>
    <w:rPr>
      <w:rFonts w:ascii="Times New Roman" w:hAnsi="Times New Roman" w:cs="Times New Roman"/>
      <w:b/>
      <w:sz w:val="20"/>
      <w:szCs w:val="20"/>
      <w:lang w:val="en-GB"/>
    </w:rPr>
  </w:style>
  <w:style w:type="paragraph" w:styleId="TOC2">
    <w:name w:val="toc 2"/>
    <w:basedOn w:val="Normal"/>
    <w:next w:val="Normal"/>
    <w:autoRedefine/>
    <w:uiPriority w:val="99"/>
    <w:pPr>
      <w:tabs>
        <w:tab w:val="left" w:pos="630"/>
        <w:tab w:val="right" w:leader="dot" w:pos="9350"/>
      </w:tabs>
      <w:ind w:left="200"/>
    </w:pPr>
    <w:rPr>
      <w:noProof/>
    </w:rPr>
  </w:style>
  <w:style w:type="paragraph" w:styleId="TOC3">
    <w:name w:val="toc 3"/>
    <w:basedOn w:val="Normal"/>
    <w:next w:val="Normal"/>
    <w:autoRedefine/>
    <w:uiPriority w:val="99"/>
    <w:pPr>
      <w:tabs>
        <w:tab w:val="left" w:pos="1800"/>
        <w:tab w:val="right" w:leader="dot" w:pos="9350"/>
      </w:tabs>
      <w:ind w:left="1260" w:hanging="860"/>
    </w:pPr>
    <w:rPr>
      <w:noProof/>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lang w:val="en-GB"/>
    </w:rPr>
  </w:style>
  <w:style w:type="paragraph" w:styleId="BodyText3">
    <w:name w:val="Body Text 3"/>
    <w:basedOn w:val="Normal"/>
    <w:link w:val="BodyText3Char"/>
    <w:uiPriority w:val="99"/>
    <w:pPr>
      <w:widowControl w:val="0"/>
      <w:jc w:val="both"/>
    </w:pPr>
  </w:style>
  <w:style w:type="character" w:customStyle="1" w:styleId="BodyText3Char">
    <w:name w:val="Body Text 3 Char"/>
    <w:basedOn w:val="DefaultParagraphFont"/>
    <w:link w:val="BodyText3"/>
    <w:uiPriority w:val="99"/>
    <w:locked/>
    <w:rPr>
      <w:rFonts w:ascii="Times New Roman" w:hAnsi="Times New Roman" w:cs="Times New Roman"/>
      <w:snapToGrid w:val="0"/>
      <w:sz w:val="20"/>
      <w:szCs w:val="20"/>
      <w:lang w:val="en-GB"/>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locked/>
    <w:rPr>
      <w:rFonts w:ascii="Times New Roman" w:hAnsi="Times New Roman" w:cs="Times New Roman"/>
      <w:sz w:val="20"/>
      <w:szCs w:val="20"/>
      <w:u w:val="single"/>
      <w:lang w:val="en-GB"/>
    </w:rPr>
  </w:style>
  <w:style w:type="paragraph" w:styleId="BodyText">
    <w:name w:val="Body Text"/>
    <w:basedOn w:val="Normal"/>
    <w:link w:val="BodyTextChar"/>
    <w:uiPriority w:val="99"/>
    <w:pPr>
      <w:spacing w:line="480" w:lineRule="auto"/>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0"/>
      <w:szCs w:val="20"/>
      <w:lang w:val="en-GB"/>
    </w:rPr>
  </w:style>
  <w:style w:type="character" w:styleId="CommentReference">
    <w:name w:val="annotation reference"/>
    <w:basedOn w:val="DefaultParagraphFont"/>
    <w:uiPriority w:val="99"/>
    <w:semiHidden/>
    <w:rPr>
      <w:rFonts w:cs="Times New Roman"/>
      <w:sz w:val="16"/>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styleId="BodyTextIndent3">
    <w:name w:val="Body Text Indent 3"/>
    <w:basedOn w:val="Normal"/>
    <w:link w:val="BodyTextIndent3Char"/>
    <w:uiPriority w:val="99"/>
    <w:pPr>
      <w:ind w:left="720"/>
    </w:pPr>
    <w:rPr>
      <w:i/>
    </w:rPr>
  </w:style>
  <w:style w:type="character" w:customStyle="1" w:styleId="BodyTextIndent3Char">
    <w:name w:val="Body Text Indent 3 Char"/>
    <w:basedOn w:val="DefaultParagraphFont"/>
    <w:link w:val="BodyTextIndent3"/>
    <w:uiPriority w:val="99"/>
    <w:locked/>
    <w:rPr>
      <w:rFonts w:ascii="Times New Roman" w:hAnsi="Times New Roman" w:cs="Times New Roman"/>
      <w:i/>
      <w:sz w:val="20"/>
      <w:szCs w:val="20"/>
      <w:lang w:val="en-GB"/>
    </w:rPr>
  </w:style>
  <w:style w:type="paragraph" w:styleId="CommentText">
    <w:name w:val="annotation text"/>
    <w:basedOn w:val="Normal"/>
    <w:link w:val="CommentTextChar"/>
    <w:uiPriority w:val="99"/>
    <w:semiHidden/>
    <w:pPr>
      <w:widowControl w:val="0"/>
    </w:pPr>
  </w:style>
  <w:style w:type="character" w:customStyle="1" w:styleId="CommentTextChar">
    <w:name w:val="Comment Text Char"/>
    <w:basedOn w:val="DefaultParagraphFont"/>
    <w:link w:val="CommentText"/>
    <w:uiPriority w:val="99"/>
    <w:semiHidden/>
    <w:locked/>
    <w:rPr>
      <w:rFonts w:ascii="Times New Roman" w:hAnsi="Times New Roman" w:cs="Times New Roman"/>
      <w:snapToGrid w:val="0"/>
      <w:sz w:val="20"/>
      <w:szCs w:val="20"/>
    </w:rPr>
  </w:style>
  <w:style w:type="paragraph" w:styleId="ListParagraph">
    <w:name w:val="List Paragraph"/>
    <w:basedOn w:val="Normal"/>
    <w:link w:val="ListParagraphChar"/>
    <w:uiPriority w:val="99"/>
    <w:qFormat/>
    <w:pPr>
      <w:spacing w:line="276" w:lineRule="auto"/>
      <w:ind w:left="1440"/>
      <w:contextualSpacing/>
    </w:pPr>
    <w:rPr>
      <w:rFonts w:eastAsia="Calibri"/>
    </w:r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pPr>
      <w:jc w:val="center"/>
    </w:pPr>
    <w:rPr>
      <w:b/>
      <w:szCs w:val="28"/>
    </w:rPr>
  </w:style>
  <w:style w:type="character" w:customStyle="1" w:styleId="SubtitleChar">
    <w:name w:val="Subtitle Char"/>
    <w:basedOn w:val="DefaultParagraphFont"/>
    <w:link w:val="Subtitle"/>
    <w:uiPriority w:val="99"/>
    <w:locked/>
    <w:rPr>
      <w:rFonts w:ascii="Times New Roman" w:hAnsi="Times New Roman" w:cs="Times New Roman"/>
      <w:b/>
      <w:sz w:val="28"/>
      <w:szCs w:val="28"/>
    </w:rPr>
  </w:style>
  <w:style w:type="paragraph" w:customStyle="1" w:styleId="xl24">
    <w:name w:val="xl24"/>
    <w:basedOn w:val="Normal"/>
    <w:uiPriority w:val="99"/>
    <w:pPr>
      <w:spacing w:before="100" w:after="100"/>
    </w:pPr>
    <w:rPr>
      <w:rFonts w:ascii="Arial Unicode MS" w:eastAsia="Arial Unicode MS" w:hAnsi="Arial Unicode MS"/>
      <w:sz w:val="16"/>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pPr>
      <w:widowControl/>
    </w:pPr>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napToGrid w:val="0"/>
      <w:sz w:val="2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Pr>
      <w:rFonts w:ascii="Times New Roman" w:hAnsi="Times New Roman" w:cs="Times New Roman"/>
      <w:sz w:val="20"/>
      <w:szCs w:val="20"/>
      <w:lang w:val="en-GB"/>
    </w:rPr>
  </w:style>
  <w:style w:type="character" w:styleId="EndnoteReference">
    <w:name w:val="endnote reference"/>
    <w:basedOn w:val="DefaultParagraphFont"/>
    <w:uiPriority w:val="99"/>
    <w:rPr>
      <w:rFonts w:cs="Times New Roman"/>
      <w:vertAlign w:val="superscript"/>
    </w:rPr>
  </w:style>
  <w:style w:type="character" w:customStyle="1" w:styleId="ti">
    <w:name w:val="ti"/>
    <w:uiPriority w:val="99"/>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color w:val="575349"/>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Pr>
      <w:rFonts w:ascii="Courier New" w:hAnsi="Courier New" w:cs="Times New Roman"/>
      <w:sz w:val="20"/>
      <w:szCs w:val="20"/>
    </w:rPr>
  </w:style>
  <w:style w:type="paragraph" w:styleId="NoSpacing">
    <w:name w:val="No Spacing"/>
    <w:link w:val="NoSpacingChar"/>
    <w:uiPriority w:val="99"/>
    <w:qFormat/>
    <w:pPr>
      <w:spacing w:after="200" w:line="276" w:lineRule="auto"/>
    </w:pPr>
  </w:style>
  <w:style w:type="character" w:styleId="Emphasis">
    <w:name w:val="Emphasis"/>
    <w:basedOn w:val="DefaultParagraphFont"/>
    <w:uiPriority w:val="99"/>
    <w:qFormat/>
    <w:rPr>
      <w:rFonts w:cs="Times New Roman"/>
      <w:i/>
    </w:rPr>
  </w:style>
  <w:style w:type="character" w:customStyle="1" w:styleId="reportbody1">
    <w:name w:val="reportbody1"/>
    <w:uiPriority w:val="99"/>
    <w:rPr>
      <w:rFonts w:ascii="Tahoma" w:hAnsi="Tahoma"/>
      <w:color w:val="000000"/>
      <w:sz w:val="11"/>
    </w:rPr>
  </w:style>
  <w:style w:type="paragraph" w:customStyle="1" w:styleId="MediumGrid1-Accent21">
    <w:name w:val="Medium Grid 1 - Accent 21"/>
    <w:basedOn w:val="Normal"/>
    <w:uiPriority w:val="99"/>
    <w:pPr>
      <w:spacing w:after="200" w:line="276" w:lineRule="auto"/>
      <w:ind w:left="720"/>
      <w:contextualSpacing/>
    </w:pPr>
    <w:rPr>
      <w:rFonts w:ascii="Calibri" w:eastAsia="Calibri" w:hAnsi="Calibri"/>
      <w:sz w:val="22"/>
      <w:szCs w:val="22"/>
    </w:rPr>
  </w:style>
  <w:style w:type="paragraph" w:styleId="List">
    <w:name w:val="List"/>
    <w:basedOn w:val="Normal"/>
    <w:uiPriority w:val="99"/>
    <w:pPr>
      <w:ind w:left="360" w:hanging="360"/>
    </w:pPr>
    <w:rPr>
      <w:szCs w:val="24"/>
    </w:rPr>
  </w:style>
  <w:style w:type="character" w:customStyle="1" w:styleId="A11">
    <w:name w:val="A11"/>
    <w:uiPriority w:val="99"/>
    <w:rPr>
      <w:color w:val="000000"/>
      <w:sz w:val="20"/>
    </w:rPr>
  </w:style>
  <w:style w:type="paragraph" w:customStyle="1" w:styleId="qHeadText">
    <w:name w:val="qHeadText"/>
    <w:basedOn w:val="Normal"/>
    <w:uiPriority w:val="99"/>
    <w:rPr>
      <w:i/>
      <w:sz w:val="22"/>
      <w:szCs w:val="24"/>
      <w:lang w:eastAsia="zh-CN"/>
    </w:rPr>
  </w:style>
  <w:style w:type="paragraph" w:customStyle="1" w:styleId="default0">
    <w:name w:val="default"/>
    <w:basedOn w:val="Normal"/>
    <w:uiPriority w:val="99"/>
    <w:pPr>
      <w:spacing w:before="100" w:beforeAutospacing="1" w:after="100" w:afterAutospacing="1"/>
    </w:pPr>
    <w:rPr>
      <w:szCs w:val="24"/>
    </w:rPr>
  </w:style>
  <w:style w:type="character" w:styleId="FollowedHyperlink">
    <w:name w:val="FollowedHyperlink"/>
    <w:basedOn w:val="DefaultParagraphFont"/>
    <w:uiPriority w:val="99"/>
    <w:rPr>
      <w:rFonts w:cs="Times New Roman"/>
      <w:color w:val="800080"/>
      <w:u w:val="single"/>
    </w:rPr>
  </w:style>
  <w:style w:type="paragraph" w:customStyle="1" w:styleId="DualTxt">
    <w:name w:val="__Dual Txt"/>
    <w:basedOn w:val="Normal"/>
    <w:uiPriority w:val="9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style>
  <w:style w:type="paragraph" w:customStyle="1" w:styleId="Subtitle1">
    <w:name w:val="Subtitle1"/>
    <w:uiPriority w:val="99"/>
    <w:pPr>
      <w:jc w:val="center"/>
    </w:pPr>
    <w:rPr>
      <w:rFonts w:ascii="Times New Roman Bold" w:hAnsi="Times New Roman Bold"/>
      <w:color w:val="000000"/>
      <w:sz w:val="24"/>
      <w:szCs w:val="20"/>
    </w:rPr>
  </w:style>
  <w:style w:type="paragraph" w:customStyle="1" w:styleId="H23">
    <w:name w:val="_ H_2/3"/>
    <w:basedOn w:val="Normal"/>
    <w:next w:val="Normal"/>
    <w:uiPriority w:val="99"/>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99"/>
    <w:locked/>
    <w:rPr>
      <w:rFonts w:ascii="Times New Roman" w:eastAsia="Times New Roman" w:hAnsi="Times New Roman"/>
      <w:sz w:val="20"/>
      <w:lang w:val="en-GB"/>
    </w:rPr>
  </w:style>
  <w:style w:type="table" w:customStyle="1" w:styleId="TableGrid1">
    <w:name w:val="Table Grid1"/>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Pr>
      <w:rFonts w:ascii="Calibri" w:eastAsia="Times New Roman"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0351">
      <w:marLeft w:val="0"/>
      <w:marRight w:val="0"/>
      <w:marTop w:val="0"/>
      <w:marBottom w:val="0"/>
      <w:divBdr>
        <w:top w:val="none" w:sz="0" w:space="0" w:color="auto"/>
        <w:left w:val="none" w:sz="0" w:space="0" w:color="auto"/>
        <w:bottom w:val="none" w:sz="0" w:space="0" w:color="auto"/>
        <w:right w:val="none" w:sz="0" w:space="0" w:color="auto"/>
      </w:divBdr>
    </w:div>
    <w:div w:id="1897810352">
      <w:marLeft w:val="0"/>
      <w:marRight w:val="0"/>
      <w:marTop w:val="0"/>
      <w:marBottom w:val="0"/>
      <w:divBdr>
        <w:top w:val="none" w:sz="0" w:space="0" w:color="auto"/>
        <w:left w:val="none" w:sz="0" w:space="0" w:color="auto"/>
        <w:bottom w:val="none" w:sz="0" w:space="0" w:color="auto"/>
        <w:right w:val="none" w:sz="0" w:space="0" w:color="auto"/>
      </w:divBdr>
    </w:div>
    <w:div w:id="1897810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5958</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lpstr>
    </vt:vector>
  </TitlesOfParts>
  <Company>TYPEX Multilanguage (631) 598-0554</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Elisabeth Gueye</cp:lastModifiedBy>
  <cp:revision>2</cp:revision>
  <cp:lastPrinted>2013-08-02T15:32:00Z</cp:lastPrinted>
  <dcterms:created xsi:type="dcterms:W3CDTF">2013-10-10T22:17:00Z</dcterms:created>
  <dcterms:modified xsi:type="dcterms:W3CDTF">2013-10-10T22:17:00Z</dcterms:modified>
</cp:coreProperties>
</file>