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D" w:rsidRDefault="00675BF5">
      <w:pPr>
        <w:rPr>
          <w:sz w:val="28"/>
          <w:szCs w:val="28"/>
          <w:lang w:val="fr-FR"/>
        </w:rPr>
      </w:pPr>
      <w:bookmarkStart w:id="0" w:name="_GoBack"/>
      <w:bookmarkEnd w:id="0"/>
      <w:r>
        <w:rPr>
          <w:noProof/>
          <w:lang w:val="en-US"/>
        </w:rPr>
        <w:drawing>
          <wp:inline distT="0" distB="0" distL="0" distR="0">
            <wp:extent cx="2047875" cy="914400"/>
            <wp:effectExtent l="0" t="0" r="9525" b="0"/>
            <wp:docPr id="18" name="Picture 7" desc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914400"/>
                    </a:xfrm>
                    <a:prstGeom prst="rect">
                      <a:avLst/>
                    </a:prstGeom>
                    <a:noFill/>
                    <a:ln>
                      <a:noFill/>
                    </a:ln>
                  </pic:spPr>
                </pic:pic>
              </a:graphicData>
            </a:graphic>
          </wp:inline>
        </w:drawing>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r w:rsidR="001D71AD">
        <w:rPr>
          <w:sz w:val="28"/>
          <w:szCs w:val="28"/>
          <w:lang w:val="fr-FR"/>
        </w:rPr>
        <w:tab/>
      </w:r>
    </w:p>
    <w:p w:rsidR="001D71AD" w:rsidRDefault="001D71AD">
      <w:pPr>
        <w:rPr>
          <w:sz w:val="28"/>
          <w:szCs w:val="28"/>
          <w:lang w:val="fr-FR"/>
        </w:rPr>
      </w:pPr>
    </w:p>
    <w:p w:rsidR="001D71AD" w:rsidRDefault="001D71AD">
      <w:pPr>
        <w:rPr>
          <w:sz w:val="28"/>
          <w:szCs w:val="28"/>
          <w:lang w:val="fr-FR"/>
        </w:rPr>
      </w:pPr>
    </w:p>
    <w:p w:rsidR="001D71AD" w:rsidRDefault="00675BF5">
      <w:pPr>
        <w:rPr>
          <w:sz w:val="28"/>
          <w:szCs w:val="28"/>
          <w:lang w:val="fr-FR"/>
        </w:rPr>
      </w:pPr>
      <w:r>
        <w:rPr>
          <w:noProof/>
          <w:lang w:val="en-US"/>
        </w:rPr>
        <mc:AlternateContent>
          <mc:Choice Requires="wps">
            <w:drawing>
              <wp:anchor distT="4294967295" distB="4294967295" distL="114300" distR="114300" simplePos="0" relativeHeight="251658240" behindDoc="0" locked="0" layoutInCell="0" allowOverlap="1">
                <wp:simplePos x="0" y="0"/>
                <wp:positionH relativeFrom="column">
                  <wp:posOffset>152400</wp:posOffset>
                </wp:positionH>
                <wp:positionV relativeFrom="paragraph">
                  <wp:posOffset>3809</wp:posOffset>
                </wp:positionV>
                <wp:extent cx="6126480" cy="0"/>
                <wp:effectExtent l="0" t="19050" r="7620" b="1905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pt" to="494.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pG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" o:allowincell="f" strokeweight="2.25pt"/>
            </w:pict>
          </mc:Fallback>
        </mc:AlternateContent>
      </w:r>
    </w:p>
    <w:p w:rsidR="001D71AD" w:rsidRDefault="001D71AD">
      <w:pPr>
        <w:rPr>
          <w:sz w:val="28"/>
          <w:szCs w:val="28"/>
          <w:lang w:val="fr-FR"/>
        </w:rPr>
      </w:pPr>
    </w:p>
    <w:p w:rsidR="001D71AD" w:rsidRPr="00983805" w:rsidRDefault="001D71AD">
      <w:pPr>
        <w:rPr>
          <w:sz w:val="28"/>
          <w:szCs w:val="28"/>
          <w:lang w:val="fr-FR"/>
        </w:rPr>
      </w:pPr>
    </w:p>
    <w:p w:rsidR="001D71AD" w:rsidRPr="00C311CE" w:rsidRDefault="001D71AD" w:rsidP="00BE11A3">
      <w:pPr>
        <w:ind w:left="245" w:firstLine="475"/>
        <w:jc w:val="center"/>
        <w:rPr>
          <w:b/>
          <w:sz w:val="28"/>
          <w:lang w:val="fr-FR"/>
        </w:rPr>
      </w:pPr>
      <w:r w:rsidRPr="00C311CE">
        <w:rPr>
          <w:b/>
          <w:sz w:val="28"/>
          <w:lang w:val="fr-FR"/>
        </w:rPr>
        <w:t>Fonds des Nations Unies pour la population</w:t>
      </w:r>
    </w:p>
    <w:p w:rsidR="001D71AD" w:rsidRDefault="001D71AD" w:rsidP="00BE11A3">
      <w:pPr>
        <w:ind w:left="245" w:firstLine="475"/>
        <w:jc w:val="center"/>
        <w:rPr>
          <w:sz w:val="28"/>
          <w:lang w:val="fr-FR"/>
        </w:rPr>
      </w:pPr>
    </w:p>
    <w:p w:rsidR="001D71AD" w:rsidRDefault="001D71AD" w:rsidP="00BE11A3">
      <w:pPr>
        <w:ind w:left="245" w:firstLine="475"/>
        <w:jc w:val="center"/>
        <w:rPr>
          <w:sz w:val="28"/>
          <w:lang w:val="fr-FR"/>
        </w:rPr>
      </w:pPr>
      <w:r>
        <w:rPr>
          <w:sz w:val="28"/>
          <w:lang w:val="fr-FR"/>
        </w:rPr>
        <w:t>(La version révisée du 19 août 2013)</w:t>
      </w:r>
    </w:p>
    <w:p w:rsidR="001D71AD" w:rsidRDefault="001D71AD" w:rsidP="00BE11A3">
      <w:pPr>
        <w:ind w:left="245" w:firstLine="475"/>
        <w:jc w:val="center"/>
        <w:rPr>
          <w:sz w:val="28"/>
          <w:lang w:val="fr-FR"/>
        </w:rPr>
      </w:pPr>
    </w:p>
    <w:p w:rsidR="001D71AD" w:rsidRPr="00BE11A3" w:rsidRDefault="001D71AD" w:rsidP="00BE11A3">
      <w:pPr>
        <w:ind w:left="245" w:firstLine="475"/>
        <w:jc w:val="center"/>
        <w:rPr>
          <w:b/>
          <w:sz w:val="36"/>
          <w:szCs w:val="36"/>
          <w:lang w:val="fr-FR"/>
        </w:rPr>
      </w:pPr>
      <w:r w:rsidRPr="00BE11A3">
        <w:rPr>
          <w:b/>
          <w:sz w:val="36"/>
          <w:szCs w:val="36"/>
          <w:lang w:val="fr-FR"/>
        </w:rPr>
        <w:t>Annexe 4</w:t>
      </w:r>
    </w:p>
    <w:p w:rsidR="001D71AD" w:rsidRDefault="001D71AD" w:rsidP="00BE11A3">
      <w:pPr>
        <w:ind w:left="245" w:firstLine="475"/>
        <w:jc w:val="center"/>
        <w:rPr>
          <w:b/>
          <w:sz w:val="36"/>
          <w:szCs w:val="36"/>
          <w:lang w:val="fr-FR"/>
        </w:rPr>
      </w:pPr>
      <w:r w:rsidRPr="00BE11A3">
        <w:rPr>
          <w:b/>
          <w:sz w:val="36"/>
          <w:szCs w:val="36"/>
          <w:lang w:val="fr-FR"/>
        </w:rPr>
        <w:t>Modalités de financement</w:t>
      </w:r>
    </w:p>
    <w:p w:rsidR="001D71AD" w:rsidRPr="00BE11A3" w:rsidRDefault="001D71AD" w:rsidP="00BE11A3">
      <w:pPr>
        <w:ind w:left="245" w:firstLine="475"/>
        <w:jc w:val="center"/>
        <w:rPr>
          <w:sz w:val="36"/>
          <w:szCs w:val="36"/>
          <w:lang w:val="fr-FR"/>
        </w:rPr>
      </w:pPr>
    </w:p>
    <w:p w:rsidR="001D71AD" w:rsidRPr="002649FD" w:rsidRDefault="001D71AD" w:rsidP="00BE11A3">
      <w:pPr>
        <w:jc w:val="center"/>
        <w:rPr>
          <w:sz w:val="22"/>
          <w:szCs w:val="22"/>
          <w:lang w:val="fr-FR"/>
        </w:rPr>
      </w:pPr>
    </w:p>
    <w:p w:rsidR="001D71AD" w:rsidRDefault="001D71AD" w:rsidP="00CB163A">
      <w:pPr>
        <w:rPr>
          <w:b/>
          <w:sz w:val="24"/>
          <w:szCs w:val="24"/>
          <w:lang w:val="fr-FR"/>
        </w:rPr>
      </w:pPr>
      <w:r w:rsidRPr="00E73026">
        <w:rPr>
          <w:b/>
          <w:sz w:val="24"/>
          <w:szCs w:val="24"/>
          <w:lang w:val="fr-FR"/>
        </w:rPr>
        <w:t>Plan stratégique de l’UNFPA 2014-2017: Rapport du Directeur exécutif  (DP/FPA/2013/12)</w:t>
      </w:r>
    </w:p>
    <w:p w:rsidR="001D71AD" w:rsidRPr="00E73026" w:rsidRDefault="001D71AD" w:rsidP="00CB163A">
      <w:pPr>
        <w:rPr>
          <w:b/>
          <w:sz w:val="24"/>
          <w:szCs w:val="24"/>
          <w:lang w:val="fr-FR"/>
        </w:rPr>
      </w:pPr>
    </w:p>
    <w:p w:rsidR="001D71AD" w:rsidRPr="00E73026" w:rsidRDefault="001D71AD" w:rsidP="00FB62FA">
      <w:pPr>
        <w:ind w:left="720"/>
        <w:rPr>
          <w:b/>
          <w:sz w:val="24"/>
          <w:szCs w:val="24"/>
          <w:lang w:val="fr-FR"/>
        </w:rPr>
      </w:pPr>
    </w:p>
    <w:p w:rsidR="001D71AD" w:rsidRPr="00E73026" w:rsidRDefault="001D71AD" w:rsidP="00FB62FA">
      <w:pPr>
        <w:jc w:val="center"/>
        <w:rPr>
          <w:b/>
          <w:sz w:val="24"/>
          <w:szCs w:val="24"/>
          <w:lang w:val="fr-FR"/>
        </w:rPr>
      </w:pPr>
    </w:p>
    <w:p w:rsidR="001D71AD" w:rsidRPr="001E159F" w:rsidRDefault="00675BF5" w:rsidP="00A04E71">
      <w:pPr>
        <w:ind w:left="360"/>
        <w:jc w:val="center"/>
        <w:rPr>
          <w:b/>
          <w:color w:val="000000"/>
          <w:sz w:val="22"/>
          <w:szCs w:val="22"/>
          <w:lang w:val="fr-FR"/>
        </w:rPr>
      </w:pPr>
      <w:r>
        <w:rPr>
          <w:noProof/>
          <w:lang w:val="en-US"/>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9525</wp:posOffset>
                </wp:positionV>
                <wp:extent cx="6103620" cy="1532255"/>
                <wp:effectExtent l="9525" t="9525" r="11430" b="1397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532255"/>
                        </a:xfrm>
                        <a:prstGeom prst="rect">
                          <a:avLst/>
                        </a:prstGeom>
                        <a:solidFill>
                          <a:srgbClr val="FFFFFF"/>
                        </a:solidFill>
                        <a:ln w="9525">
                          <a:solidFill>
                            <a:srgbClr val="000000"/>
                          </a:solidFill>
                          <a:miter lim="800000"/>
                          <a:headEnd/>
                          <a:tailEnd/>
                        </a:ln>
                      </wps:spPr>
                      <wps:txbx>
                        <w:txbxContent>
                          <w:p w:rsidR="001D71AD" w:rsidRDefault="001D71AD" w:rsidP="00FB62FA">
                            <w:pPr>
                              <w:rPr>
                                <w:i/>
                              </w:rPr>
                            </w:pPr>
                          </w:p>
                          <w:p w:rsidR="001D71AD" w:rsidRPr="00F55F5E" w:rsidRDefault="001D71AD" w:rsidP="00FB62FA">
                            <w:pPr>
                              <w:rPr>
                                <w:i/>
                                <w:sz w:val="22"/>
                                <w:szCs w:val="22"/>
                                <w:lang w:val="fr-FR"/>
                              </w:rPr>
                            </w:pPr>
                            <w:r w:rsidRPr="00F55F5E">
                              <w:rPr>
                                <w:i/>
                                <w:sz w:val="22"/>
                                <w:szCs w:val="22"/>
                                <w:lang w:val="fr-FR"/>
                              </w:rPr>
                              <w:t>Résumé</w:t>
                            </w:r>
                          </w:p>
                          <w:p w:rsidR="001D71AD" w:rsidRPr="00F55F5E" w:rsidRDefault="001D71AD">
                            <w:pPr>
                              <w:rPr>
                                <w:i/>
                                <w:sz w:val="22"/>
                                <w:szCs w:val="22"/>
                                <w:lang w:val="fr-FR"/>
                              </w:rPr>
                            </w:pPr>
                          </w:p>
                          <w:p w:rsidR="001D71AD" w:rsidRPr="00F55F5E" w:rsidRDefault="001D71AD" w:rsidP="00E508E0">
                            <w:pPr>
                              <w:ind w:left="360" w:right="660" w:firstLine="540"/>
                              <w:jc w:val="both"/>
                              <w:rPr>
                                <w:sz w:val="22"/>
                                <w:szCs w:val="22"/>
                                <w:lang w:val="fr-FR"/>
                              </w:rPr>
                            </w:pPr>
                            <w:r w:rsidRPr="00F55F5E">
                              <w:rPr>
                                <w:sz w:val="22"/>
                                <w:szCs w:val="22"/>
                                <w:lang w:val="fr-FR"/>
                              </w:rPr>
                              <w:t>Ce document présente l’Annexe 4 du plan stratégique de l’UNFPA pour 2014-2017, consacrée aux modalités de financement. Il traite essentiellement de l’architecture à travers laquelle l’organisation alloue ses ressources, du système d’affectation des ressources, du Programme mondial et régional et d’autres mécanismes d’attribution des ressources programmatiques, notamment le Fonds de secours et le Fonds d’opportunités.</w:t>
                            </w:r>
                          </w:p>
                          <w:p w:rsidR="001D71AD" w:rsidRPr="00F55F5E" w:rsidRDefault="001D71AD" w:rsidP="00FB62FA">
                            <w:pPr>
                              <w:ind w:left="720" w:right="660"/>
                              <w:jc w:val="both"/>
                              <w:rPr>
                                <w:sz w:val="22"/>
                                <w:szCs w:val="22"/>
                                <w:lang w:val="fr-FR"/>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75pt;width:480.6pt;height:120.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">
                <v:textbox style="mso-fit-shape-to-text:t">
                  <w:txbxContent>
                    <w:p w:rsidR="001D71AD" w:rsidRDefault="001D71AD" w:rsidP="00FB62FA">
                      <w:pPr>
                        <w:rPr>
                          <w:i/>
                        </w:rPr>
                      </w:pPr>
                    </w:p>
                    <w:p w:rsidR="001D71AD" w:rsidRPr="00F55F5E" w:rsidRDefault="001D71AD" w:rsidP="00FB62FA">
                      <w:pPr>
                        <w:rPr>
                          <w:i/>
                          <w:sz w:val="22"/>
                          <w:szCs w:val="22"/>
                          <w:lang w:val="fr-FR"/>
                        </w:rPr>
                      </w:pPr>
                      <w:r w:rsidRPr="00F55F5E">
                        <w:rPr>
                          <w:i/>
                          <w:sz w:val="22"/>
                          <w:szCs w:val="22"/>
                          <w:lang w:val="fr-FR"/>
                        </w:rPr>
                        <w:t>Résumé</w:t>
                      </w:r>
                    </w:p>
                    <w:p w:rsidR="001D71AD" w:rsidRPr="00F55F5E" w:rsidRDefault="001D71AD">
                      <w:pPr>
                        <w:rPr>
                          <w:i/>
                          <w:sz w:val="22"/>
                          <w:szCs w:val="22"/>
                          <w:lang w:val="fr-FR"/>
                        </w:rPr>
                      </w:pPr>
                    </w:p>
                    <w:p w:rsidR="001D71AD" w:rsidRPr="00F55F5E" w:rsidRDefault="001D71AD" w:rsidP="00E508E0">
                      <w:pPr>
                        <w:ind w:left="360" w:right="660" w:firstLine="540"/>
                        <w:jc w:val="both"/>
                        <w:rPr>
                          <w:sz w:val="22"/>
                          <w:szCs w:val="22"/>
                          <w:lang w:val="fr-FR"/>
                        </w:rPr>
                      </w:pPr>
                      <w:r w:rsidRPr="00F55F5E">
                        <w:rPr>
                          <w:sz w:val="22"/>
                          <w:szCs w:val="22"/>
                          <w:lang w:val="fr-FR"/>
                        </w:rPr>
                        <w:t>Ce document présente l’Annexe 4 du plan stratégique de l’UNFPA pour 2014-2017, consacrée aux modalités de financement. Il traite essentiellement de l’architecture à travers laquelle l’organisation alloue ses ressources, du système d’affectation des ressources, du Programme mondial et régional et d’autres mécanismes d’attribution des ressources programmatiques, notamment le Fonds de secours et le Fonds d’opportunités.</w:t>
                      </w:r>
                    </w:p>
                    <w:p w:rsidR="001D71AD" w:rsidRPr="00F55F5E" w:rsidRDefault="001D71AD" w:rsidP="00FB62FA">
                      <w:pPr>
                        <w:ind w:left="720" w:right="660"/>
                        <w:jc w:val="both"/>
                        <w:rPr>
                          <w:sz w:val="22"/>
                          <w:szCs w:val="22"/>
                          <w:lang w:val="fr-FR"/>
                        </w:rPr>
                      </w:pPr>
                    </w:p>
                  </w:txbxContent>
                </v:textbox>
              </v:shape>
            </w:pict>
          </mc:Fallback>
        </mc:AlternateContent>
      </w:r>
    </w:p>
    <w:p w:rsidR="001D71AD" w:rsidRPr="001E159F" w:rsidRDefault="001D71AD" w:rsidP="00A27B76">
      <w:pPr>
        <w:rPr>
          <w:sz w:val="28"/>
          <w:szCs w:val="28"/>
          <w:lang w:val="fr-FR"/>
        </w:rPr>
      </w:pPr>
      <w:r w:rsidRPr="001E159F">
        <w:rPr>
          <w:b/>
          <w:color w:val="000000"/>
          <w:sz w:val="22"/>
          <w:szCs w:val="22"/>
          <w:lang w:val="fr-FR"/>
        </w:rPr>
        <w:br w:type="page"/>
      </w:r>
      <w:r>
        <w:rPr>
          <w:sz w:val="28"/>
          <w:szCs w:val="28"/>
          <w:lang w:val="fr-FR"/>
        </w:rPr>
        <w:lastRenderedPageBreak/>
        <w:t>Sommaire</w:t>
      </w:r>
    </w:p>
    <w:p w:rsidR="001D71AD" w:rsidRPr="001E159F" w:rsidRDefault="001D71AD" w:rsidP="00A27B76">
      <w:pPr>
        <w:rPr>
          <w:sz w:val="28"/>
          <w:szCs w:val="28"/>
          <w:lang w:val="fr-FR"/>
        </w:rPr>
      </w:pPr>
    </w:p>
    <w:p w:rsidR="001D71AD" w:rsidRPr="001E159F" w:rsidRDefault="001D71AD" w:rsidP="00A27B76">
      <w:pPr>
        <w:rPr>
          <w:sz w:val="28"/>
          <w:szCs w:val="28"/>
          <w:lang w:val="fr-FR"/>
        </w:rPr>
      </w:pPr>
    </w:p>
    <w:p w:rsidR="001D71AD" w:rsidRPr="001E159F" w:rsidRDefault="001D71AD" w:rsidP="00925DBB">
      <w:pPr>
        <w:ind w:left="360"/>
        <w:jc w:val="center"/>
        <w:rPr>
          <w:i/>
          <w:sz w:val="18"/>
          <w:szCs w:val="18"/>
          <w:lang w:val="fr-FR"/>
        </w:rPr>
      </w:pP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sz w:val="22"/>
          <w:lang w:val="fr-FR"/>
        </w:rPr>
        <w:tab/>
      </w:r>
      <w:r w:rsidRPr="001E159F">
        <w:rPr>
          <w:i/>
          <w:sz w:val="18"/>
          <w:szCs w:val="18"/>
          <w:lang w:val="fr-FR"/>
        </w:rPr>
        <w:t>Page</w:t>
      </w:r>
    </w:p>
    <w:p w:rsidR="001D71AD" w:rsidRPr="001E159F" w:rsidRDefault="001D71AD" w:rsidP="00B27EED">
      <w:pPr>
        <w:ind w:left="360"/>
        <w:jc w:val="center"/>
        <w:rPr>
          <w:u w:val="single"/>
          <w:lang w:val="fr-FR"/>
        </w:rPr>
      </w:pPr>
    </w:p>
    <w:p w:rsidR="001D71AD" w:rsidRPr="007F579D" w:rsidRDefault="001D71AD">
      <w:pPr>
        <w:pStyle w:val="TOC1"/>
        <w:rPr>
          <w:rFonts w:ascii="Calibri" w:hAnsi="Calibri"/>
          <w:sz w:val="22"/>
          <w:szCs w:val="22"/>
          <w:lang w:val="fr-FR" w:eastAsia="fr-FR"/>
        </w:rPr>
      </w:pPr>
      <w:r w:rsidRPr="001E159F">
        <w:rPr>
          <w:lang w:val="fr-FR"/>
        </w:rPr>
        <w:fldChar w:fldCharType="begin"/>
      </w:r>
      <w:r w:rsidRPr="001E159F">
        <w:rPr>
          <w:lang w:val="fr-FR"/>
        </w:rPr>
        <w:instrText xml:space="preserve"> TOC \o "1-2" \h \z \u </w:instrText>
      </w:r>
      <w:r w:rsidRPr="001E159F">
        <w:rPr>
          <w:lang w:val="fr-FR"/>
        </w:rPr>
        <w:fldChar w:fldCharType="separate"/>
      </w:r>
    </w:p>
    <w:p w:rsidR="001D71AD" w:rsidRPr="007F579D" w:rsidRDefault="0065298A">
      <w:pPr>
        <w:pStyle w:val="TOC1"/>
        <w:rPr>
          <w:rFonts w:ascii="Calibri" w:hAnsi="Calibri"/>
          <w:sz w:val="22"/>
          <w:szCs w:val="22"/>
          <w:lang w:val="fr-FR" w:eastAsia="fr-FR"/>
        </w:rPr>
      </w:pPr>
      <w:hyperlink w:anchor="_Toc363918441" w:history="1">
        <w:r w:rsidR="001D71AD" w:rsidRPr="0079061A">
          <w:rPr>
            <w:rStyle w:val="Hyperlink"/>
          </w:rPr>
          <w:t>I.</w:t>
        </w:r>
        <w:r w:rsidR="001D71AD" w:rsidRPr="007F579D">
          <w:rPr>
            <w:rFonts w:ascii="Calibri" w:hAnsi="Calibri"/>
            <w:sz w:val="22"/>
            <w:szCs w:val="22"/>
            <w:lang w:val="fr-FR" w:eastAsia="fr-FR"/>
          </w:rPr>
          <w:tab/>
        </w:r>
        <w:r w:rsidR="001D71AD" w:rsidRPr="0079061A">
          <w:rPr>
            <w:rStyle w:val="Hyperlink"/>
          </w:rPr>
          <w:t>Introduction</w:t>
        </w:r>
        <w:r w:rsidR="001D71AD">
          <w:rPr>
            <w:webHidden/>
          </w:rPr>
          <w:tab/>
        </w:r>
        <w:r w:rsidR="001D71AD">
          <w:rPr>
            <w:webHidden/>
          </w:rPr>
          <w:fldChar w:fldCharType="begin"/>
        </w:r>
        <w:r w:rsidR="001D71AD">
          <w:rPr>
            <w:webHidden/>
          </w:rPr>
          <w:instrText xml:space="preserve"> PAGEREF _Toc363918441 \h </w:instrText>
        </w:r>
        <w:r w:rsidR="001D71AD">
          <w:rPr>
            <w:webHidden/>
          </w:rPr>
        </w:r>
        <w:r w:rsidR="001D71AD">
          <w:rPr>
            <w:webHidden/>
          </w:rPr>
          <w:fldChar w:fldCharType="separate"/>
        </w:r>
        <w:r w:rsidR="001D71AD">
          <w:rPr>
            <w:webHidden/>
          </w:rPr>
          <w:t>3</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42" w:history="1">
        <w:r w:rsidR="001D71AD" w:rsidRPr="0079061A">
          <w:rPr>
            <w:rStyle w:val="Hyperlink"/>
          </w:rPr>
          <w:t>II.</w:t>
        </w:r>
        <w:r w:rsidR="001D71AD" w:rsidRPr="007F579D">
          <w:rPr>
            <w:rFonts w:ascii="Calibri" w:hAnsi="Calibri"/>
            <w:sz w:val="22"/>
            <w:szCs w:val="22"/>
            <w:lang w:val="fr-FR" w:eastAsia="fr-FR"/>
          </w:rPr>
          <w:tab/>
        </w:r>
        <w:r w:rsidR="001D71AD" w:rsidRPr="0079061A">
          <w:rPr>
            <w:rStyle w:val="Hyperlink"/>
          </w:rPr>
          <w:t>Architecture</w:t>
        </w:r>
        <w:r w:rsidR="001D71AD">
          <w:rPr>
            <w:webHidden/>
          </w:rPr>
          <w:tab/>
        </w:r>
        <w:r w:rsidR="001D71AD">
          <w:rPr>
            <w:webHidden/>
          </w:rPr>
          <w:fldChar w:fldCharType="begin"/>
        </w:r>
        <w:r w:rsidR="001D71AD">
          <w:rPr>
            <w:webHidden/>
          </w:rPr>
          <w:instrText xml:space="preserve"> PAGEREF _Toc363918442 \h </w:instrText>
        </w:r>
        <w:r w:rsidR="001D71AD">
          <w:rPr>
            <w:webHidden/>
          </w:rPr>
        </w:r>
        <w:r w:rsidR="001D71AD">
          <w:rPr>
            <w:webHidden/>
          </w:rPr>
          <w:fldChar w:fldCharType="separate"/>
        </w:r>
        <w:r w:rsidR="001D71AD">
          <w:rPr>
            <w:webHidden/>
          </w:rPr>
          <w:t>3</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43" w:history="1">
        <w:r w:rsidR="001D71AD" w:rsidRPr="0079061A">
          <w:rPr>
            <w:rStyle w:val="Hyperlink"/>
            <w:lang w:val="fr-FR"/>
          </w:rPr>
          <w:t>III.</w:t>
        </w:r>
        <w:r w:rsidR="001D71AD" w:rsidRPr="007F579D">
          <w:rPr>
            <w:rFonts w:ascii="Calibri" w:hAnsi="Calibri"/>
            <w:sz w:val="22"/>
            <w:szCs w:val="22"/>
            <w:lang w:val="fr-FR" w:eastAsia="fr-FR"/>
          </w:rPr>
          <w:tab/>
        </w:r>
        <w:r w:rsidR="001D71AD" w:rsidRPr="0079061A">
          <w:rPr>
            <w:rStyle w:val="Hyperlink"/>
            <w:lang w:val="fr-FR"/>
          </w:rPr>
          <w:t>Le financement des interventions aux niveaux mondial et régional</w:t>
        </w:r>
        <w:r w:rsidR="001D71AD">
          <w:rPr>
            <w:webHidden/>
          </w:rPr>
          <w:tab/>
        </w:r>
        <w:r w:rsidR="001D71AD">
          <w:rPr>
            <w:webHidden/>
          </w:rPr>
          <w:fldChar w:fldCharType="begin"/>
        </w:r>
        <w:r w:rsidR="001D71AD">
          <w:rPr>
            <w:webHidden/>
          </w:rPr>
          <w:instrText xml:space="preserve"> PAGEREF _Toc363918443 \h </w:instrText>
        </w:r>
        <w:r w:rsidR="001D71AD">
          <w:rPr>
            <w:webHidden/>
          </w:rPr>
        </w:r>
        <w:r w:rsidR="001D71AD">
          <w:rPr>
            <w:webHidden/>
          </w:rPr>
          <w:fldChar w:fldCharType="separate"/>
        </w:r>
        <w:r w:rsidR="001D71AD">
          <w:rPr>
            <w:webHidden/>
          </w:rPr>
          <w:t>4</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44" w:history="1">
        <w:r w:rsidR="001D71AD" w:rsidRPr="0079061A">
          <w:rPr>
            <w:rStyle w:val="Hyperlink"/>
            <w:lang w:val="en-US"/>
          </w:rPr>
          <w:t>A.</w:t>
        </w:r>
        <w:r w:rsidR="001D71AD" w:rsidRPr="007F579D">
          <w:rPr>
            <w:rFonts w:ascii="Calibri" w:hAnsi="Calibri"/>
            <w:sz w:val="22"/>
            <w:szCs w:val="22"/>
            <w:lang w:val="fr-FR" w:eastAsia="fr-FR"/>
          </w:rPr>
          <w:tab/>
        </w:r>
        <w:r w:rsidR="001D71AD" w:rsidRPr="0079061A">
          <w:rPr>
            <w:rStyle w:val="Hyperlink"/>
            <w:lang w:val="en-US"/>
          </w:rPr>
          <w:t>Introduction</w:t>
        </w:r>
        <w:r w:rsidR="001D71AD">
          <w:rPr>
            <w:webHidden/>
          </w:rPr>
          <w:tab/>
        </w:r>
        <w:r w:rsidR="001D71AD">
          <w:rPr>
            <w:webHidden/>
          </w:rPr>
          <w:fldChar w:fldCharType="begin"/>
        </w:r>
        <w:r w:rsidR="001D71AD">
          <w:rPr>
            <w:webHidden/>
          </w:rPr>
          <w:instrText xml:space="preserve"> PAGEREF _Toc363918444 \h </w:instrText>
        </w:r>
        <w:r w:rsidR="001D71AD">
          <w:rPr>
            <w:webHidden/>
          </w:rPr>
        </w:r>
        <w:r w:rsidR="001D71AD">
          <w:rPr>
            <w:webHidden/>
          </w:rPr>
          <w:fldChar w:fldCharType="separate"/>
        </w:r>
        <w:r w:rsidR="001D71AD">
          <w:rPr>
            <w:webHidden/>
          </w:rPr>
          <w:t>4</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45" w:history="1">
        <w:r w:rsidR="001D71AD" w:rsidRPr="0079061A">
          <w:rPr>
            <w:rStyle w:val="Hyperlink"/>
            <w:lang w:val="fr-CA"/>
          </w:rPr>
          <w:t>B.</w:t>
        </w:r>
        <w:r w:rsidR="001D71AD" w:rsidRPr="007F579D">
          <w:rPr>
            <w:rFonts w:ascii="Calibri" w:hAnsi="Calibri"/>
            <w:sz w:val="22"/>
            <w:szCs w:val="22"/>
            <w:lang w:val="fr-FR" w:eastAsia="fr-FR"/>
          </w:rPr>
          <w:tab/>
        </w:r>
        <w:r w:rsidR="001D71AD" w:rsidRPr="0079061A">
          <w:rPr>
            <w:rStyle w:val="Hyperlink"/>
            <w:lang w:val="fr-CA"/>
          </w:rPr>
          <w:t>Interventions mondiales et régionales</w:t>
        </w:r>
        <w:r w:rsidR="001D71AD">
          <w:rPr>
            <w:webHidden/>
          </w:rPr>
          <w:tab/>
        </w:r>
        <w:r w:rsidR="001D71AD">
          <w:rPr>
            <w:webHidden/>
          </w:rPr>
          <w:fldChar w:fldCharType="begin"/>
        </w:r>
        <w:r w:rsidR="001D71AD">
          <w:rPr>
            <w:webHidden/>
          </w:rPr>
          <w:instrText xml:space="preserve"> PAGEREF _Toc363918445 \h </w:instrText>
        </w:r>
        <w:r w:rsidR="001D71AD">
          <w:rPr>
            <w:webHidden/>
          </w:rPr>
        </w:r>
        <w:r w:rsidR="001D71AD">
          <w:rPr>
            <w:webHidden/>
          </w:rPr>
          <w:fldChar w:fldCharType="separate"/>
        </w:r>
        <w:r w:rsidR="001D71AD">
          <w:rPr>
            <w:webHidden/>
          </w:rPr>
          <w:t>5</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46" w:history="1">
        <w:r w:rsidR="001D71AD" w:rsidRPr="0079061A">
          <w:rPr>
            <w:rStyle w:val="Hyperlink"/>
            <w:lang w:val="fr-CA"/>
          </w:rPr>
          <w:t>C.</w:t>
        </w:r>
        <w:r w:rsidR="001D71AD" w:rsidRPr="007F579D">
          <w:rPr>
            <w:rFonts w:ascii="Calibri" w:hAnsi="Calibri"/>
            <w:sz w:val="22"/>
            <w:szCs w:val="22"/>
            <w:lang w:val="fr-FR" w:eastAsia="fr-FR"/>
          </w:rPr>
          <w:tab/>
        </w:r>
        <w:r w:rsidR="001D71AD" w:rsidRPr="0079061A">
          <w:rPr>
            <w:rStyle w:val="Hyperlink"/>
            <w:lang w:val="fr-CA"/>
          </w:rPr>
          <w:t>Attribution des ressources</w:t>
        </w:r>
        <w:r w:rsidR="001D71AD">
          <w:rPr>
            <w:webHidden/>
          </w:rPr>
          <w:tab/>
        </w:r>
        <w:r w:rsidR="001D71AD">
          <w:rPr>
            <w:webHidden/>
          </w:rPr>
          <w:fldChar w:fldCharType="begin"/>
        </w:r>
        <w:r w:rsidR="001D71AD">
          <w:rPr>
            <w:webHidden/>
          </w:rPr>
          <w:instrText xml:space="preserve"> PAGEREF _Toc363918446 \h </w:instrText>
        </w:r>
        <w:r w:rsidR="001D71AD">
          <w:rPr>
            <w:webHidden/>
          </w:rPr>
        </w:r>
        <w:r w:rsidR="001D71AD">
          <w:rPr>
            <w:webHidden/>
          </w:rPr>
          <w:fldChar w:fldCharType="separate"/>
        </w:r>
        <w:r w:rsidR="001D71AD">
          <w:rPr>
            <w:webHidden/>
          </w:rPr>
          <w:t>7</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47" w:history="1">
        <w:r w:rsidR="001D71AD" w:rsidRPr="0079061A">
          <w:rPr>
            <w:rStyle w:val="Hyperlink"/>
            <w:lang w:val="fr-CA"/>
          </w:rPr>
          <w:t>D.</w:t>
        </w:r>
        <w:r w:rsidR="001D71AD" w:rsidRPr="007F579D">
          <w:rPr>
            <w:rFonts w:ascii="Calibri" w:hAnsi="Calibri"/>
            <w:sz w:val="22"/>
            <w:szCs w:val="22"/>
            <w:lang w:val="fr-FR" w:eastAsia="fr-FR"/>
          </w:rPr>
          <w:tab/>
        </w:r>
        <w:r w:rsidR="001D71AD" w:rsidRPr="0079061A">
          <w:rPr>
            <w:rStyle w:val="Hyperlink"/>
            <w:lang w:val="fr-CA"/>
          </w:rPr>
          <w:t>Obtention de résultats</w:t>
        </w:r>
        <w:r w:rsidR="001D71AD">
          <w:rPr>
            <w:webHidden/>
          </w:rPr>
          <w:tab/>
        </w:r>
        <w:r w:rsidR="001D71AD">
          <w:rPr>
            <w:webHidden/>
          </w:rPr>
          <w:fldChar w:fldCharType="begin"/>
        </w:r>
        <w:r w:rsidR="001D71AD">
          <w:rPr>
            <w:webHidden/>
          </w:rPr>
          <w:instrText xml:space="preserve"> PAGEREF _Toc363918447 \h </w:instrText>
        </w:r>
        <w:r w:rsidR="001D71AD">
          <w:rPr>
            <w:webHidden/>
          </w:rPr>
        </w:r>
        <w:r w:rsidR="001D71AD">
          <w:rPr>
            <w:webHidden/>
          </w:rPr>
          <w:fldChar w:fldCharType="separate"/>
        </w:r>
        <w:r w:rsidR="001D71AD">
          <w:rPr>
            <w:webHidden/>
          </w:rPr>
          <w:t>10</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48" w:history="1">
        <w:r w:rsidR="001D71AD" w:rsidRPr="0079061A">
          <w:rPr>
            <w:rStyle w:val="Hyperlink"/>
            <w:lang w:val="fr-CA"/>
          </w:rPr>
          <w:t>E.</w:t>
        </w:r>
        <w:r w:rsidR="001D71AD" w:rsidRPr="007F579D">
          <w:rPr>
            <w:rFonts w:ascii="Calibri" w:hAnsi="Calibri"/>
            <w:sz w:val="22"/>
            <w:szCs w:val="22"/>
            <w:lang w:val="fr-FR" w:eastAsia="fr-FR"/>
          </w:rPr>
          <w:tab/>
        </w:r>
        <w:r w:rsidR="001D71AD" w:rsidRPr="0079061A">
          <w:rPr>
            <w:rStyle w:val="Hyperlink"/>
            <w:lang w:val="fr-CA"/>
          </w:rPr>
          <w:t>Rôles et responsabilités</w:t>
        </w:r>
        <w:r w:rsidR="001D71AD">
          <w:rPr>
            <w:webHidden/>
          </w:rPr>
          <w:tab/>
        </w:r>
        <w:r w:rsidR="001D71AD">
          <w:rPr>
            <w:webHidden/>
          </w:rPr>
          <w:fldChar w:fldCharType="begin"/>
        </w:r>
        <w:r w:rsidR="001D71AD">
          <w:rPr>
            <w:webHidden/>
          </w:rPr>
          <w:instrText xml:space="preserve"> PAGEREF _Toc363918448 \h </w:instrText>
        </w:r>
        <w:r w:rsidR="001D71AD">
          <w:rPr>
            <w:webHidden/>
          </w:rPr>
        </w:r>
        <w:r w:rsidR="001D71AD">
          <w:rPr>
            <w:webHidden/>
          </w:rPr>
          <w:fldChar w:fldCharType="separate"/>
        </w:r>
        <w:r w:rsidR="001D71AD">
          <w:rPr>
            <w:webHidden/>
          </w:rPr>
          <w:t>11</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49" w:history="1">
        <w:r w:rsidR="001D71AD" w:rsidRPr="0079061A">
          <w:rPr>
            <w:rStyle w:val="Hyperlink"/>
            <w:lang w:val="fr-FR"/>
          </w:rPr>
          <w:t>IV.</w:t>
        </w:r>
        <w:r w:rsidR="001D71AD" w:rsidRPr="007F579D">
          <w:rPr>
            <w:rFonts w:ascii="Calibri" w:hAnsi="Calibri"/>
            <w:sz w:val="22"/>
            <w:szCs w:val="22"/>
            <w:lang w:val="fr-FR" w:eastAsia="fr-FR"/>
          </w:rPr>
          <w:tab/>
        </w:r>
        <w:r w:rsidR="001D71AD" w:rsidRPr="0079061A">
          <w:rPr>
            <w:rStyle w:val="Hyperlink"/>
            <w:lang w:val="fr-FR"/>
          </w:rPr>
          <w:t>Le système d’attribution des ressources</w:t>
        </w:r>
        <w:r w:rsidR="001D71AD">
          <w:rPr>
            <w:webHidden/>
          </w:rPr>
          <w:tab/>
        </w:r>
        <w:r w:rsidR="001D71AD">
          <w:rPr>
            <w:webHidden/>
          </w:rPr>
          <w:fldChar w:fldCharType="begin"/>
        </w:r>
        <w:r w:rsidR="001D71AD">
          <w:rPr>
            <w:webHidden/>
          </w:rPr>
          <w:instrText xml:space="preserve"> PAGEREF _Toc363918449 \h </w:instrText>
        </w:r>
        <w:r w:rsidR="001D71AD">
          <w:rPr>
            <w:webHidden/>
          </w:rPr>
        </w:r>
        <w:r w:rsidR="001D71AD">
          <w:rPr>
            <w:webHidden/>
          </w:rPr>
          <w:fldChar w:fldCharType="separate"/>
        </w:r>
        <w:r w:rsidR="001D71AD">
          <w:rPr>
            <w:webHidden/>
          </w:rPr>
          <w:t>12</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0" w:history="1">
        <w:r w:rsidR="001D71AD" w:rsidRPr="0079061A">
          <w:rPr>
            <w:rStyle w:val="Hyperlink"/>
          </w:rPr>
          <w:t>A.</w:t>
        </w:r>
        <w:r w:rsidR="001D71AD" w:rsidRPr="007F579D">
          <w:rPr>
            <w:rFonts w:ascii="Calibri" w:hAnsi="Calibri"/>
            <w:sz w:val="22"/>
            <w:szCs w:val="22"/>
            <w:lang w:val="fr-FR" w:eastAsia="fr-FR"/>
          </w:rPr>
          <w:tab/>
        </w:r>
        <w:r w:rsidR="001D71AD" w:rsidRPr="0079061A">
          <w:rPr>
            <w:rStyle w:val="Hyperlink"/>
            <w:lang w:val="fr-CA"/>
          </w:rPr>
          <w:t>Contexte</w:t>
        </w:r>
        <w:r w:rsidR="001D71AD">
          <w:rPr>
            <w:webHidden/>
          </w:rPr>
          <w:tab/>
        </w:r>
        <w:r w:rsidR="001D71AD">
          <w:rPr>
            <w:webHidden/>
          </w:rPr>
          <w:fldChar w:fldCharType="begin"/>
        </w:r>
        <w:r w:rsidR="001D71AD">
          <w:rPr>
            <w:webHidden/>
          </w:rPr>
          <w:instrText xml:space="preserve"> PAGEREF _Toc363918450 \h </w:instrText>
        </w:r>
        <w:r w:rsidR="001D71AD">
          <w:rPr>
            <w:webHidden/>
          </w:rPr>
        </w:r>
        <w:r w:rsidR="001D71AD">
          <w:rPr>
            <w:webHidden/>
          </w:rPr>
          <w:fldChar w:fldCharType="separate"/>
        </w:r>
        <w:r w:rsidR="001D71AD">
          <w:rPr>
            <w:webHidden/>
          </w:rPr>
          <w:t>12</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1" w:history="1">
        <w:r w:rsidR="001D71AD" w:rsidRPr="0079061A">
          <w:rPr>
            <w:rStyle w:val="Hyperlink"/>
            <w:lang w:val="fr-CA"/>
          </w:rPr>
          <w:t>B.</w:t>
        </w:r>
        <w:r w:rsidR="001D71AD" w:rsidRPr="007F579D">
          <w:rPr>
            <w:rFonts w:ascii="Calibri" w:hAnsi="Calibri"/>
            <w:sz w:val="22"/>
            <w:szCs w:val="22"/>
            <w:lang w:val="fr-FR" w:eastAsia="fr-FR"/>
          </w:rPr>
          <w:tab/>
        </w:r>
        <w:r w:rsidR="001D71AD" w:rsidRPr="0079061A">
          <w:rPr>
            <w:rStyle w:val="Hyperlink"/>
            <w:lang w:val="fr-CA"/>
          </w:rPr>
          <w:t>Principales difficultés</w:t>
        </w:r>
        <w:r w:rsidR="001D71AD">
          <w:rPr>
            <w:webHidden/>
          </w:rPr>
          <w:tab/>
        </w:r>
        <w:r w:rsidR="001D71AD">
          <w:rPr>
            <w:webHidden/>
          </w:rPr>
          <w:fldChar w:fldCharType="begin"/>
        </w:r>
        <w:r w:rsidR="001D71AD">
          <w:rPr>
            <w:webHidden/>
          </w:rPr>
          <w:instrText xml:space="preserve"> PAGEREF _Toc363918451 \h </w:instrText>
        </w:r>
        <w:r w:rsidR="001D71AD">
          <w:rPr>
            <w:webHidden/>
          </w:rPr>
        </w:r>
        <w:r w:rsidR="001D71AD">
          <w:rPr>
            <w:webHidden/>
          </w:rPr>
          <w:fldChar w:fldCharType="separate"/>
        </w:r>
        <w:r w:rsidR="001D71AD">
          <w:rPr>
            <w:webHidden/>
          </w:rPr>
          <w:t>13</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2" w:history="1">
        <w:r w:rsidR="001D71AD" w:rsidRPr="0079061A">
          <w:rPr>
            <w:rStyle w:val="Hyperlink"/>
          </w:rPr>
          <w:t>C.</w:t>
        </w:r>
        <w:r w:rsidR="001D71AD" w:rsidRPr="007F579D">
          <w:rPr>
            <w:rFonts w:ascii="Calibri" w:hAnsi="Calibri"/>
            <w:sz w:val="22"/>
            <w:szCs w:val="22"/>
            <w:lang w:val="fr-FR" w:eastAsia="fr-FR"/>
          </w:rPr>
          <w:tab/>
        </w:r>
        <w:r w:rsidR="001D71AD" w:rsidRPr="0079061A">
          <w:rPr>
            <w:rStyle w:val="Hyperlink"/>
            <w:lang w:val="fr-FR"/>
          </w:rPr>
          <w:t>Résoudre les difficultés</w:t>
        </w:r>
        <w:r w:rsidR="001D71AD">
          <w:rPr>
            <w:webHidden/>
          </w:rPr>
          <w:tab/>
        </w:r>
        <w:r w:rsidR="001D71AD">
          <w:rPr>
            <w:webHidden/>
          </w:rPr>
          <w:fldChar w:fldCharType="begin"/>
        </w:r>
        <w:r w:rsidR="001D71AD">
          <w:rPr>
            <w:webHidden/>
          </w:rPr>
          <w:instrText xml:space="preserve"> PAGEREF _Toc363918452 \h </w:instrText>
        </w:r>
        <w:r w:rsidR="001D71AD">
          <w:rPr>
            <w:webHidden/>
          </w:rPr>
        </w:r>
        <w:r w:rsidR="001D71AD">
          <w:rPr>
            <w:webHidden/>
          </w:rPr>
          <w:fldChar w:fldCharType="separate"/>
        </w:r>
        <w:r w:rsidR="001D71AD">
          <w:rPr>
            <w:webHidden/>
          </w:rPr>
          <w:t>18</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53" w:history="1">
        <w:r w:rsidR="001D71AD" w:rsidRPr="0079061A">
          <w:rPr>
            <w:rStyle w:val="Hyperlink"/>
            <w:lang w:val="fr-FR"/>
          </w:rPr>
          <w:t>V.</w:t>
        </w:r>
        <w:r w:rsidR="001D71AD" w:rsidRPr="007F579D">
          <w:rPr>
            <w:rFonts w:ascii="Calibri" w:hAnsi="Calibri"/>
            <w:sz w:val="22"/>
            <w:szCs w:val="22"/>
            <w:lang w:val="fr-FR" w:eastAsia="fr-FR"/>
          </w:rPr>
          <w:tab/>
        </w:r>
        <w:r w:rsidR="001D71AD" w:rsidRPr="0079061A">
          <w:rPr>
            <w:rStyle w:val="Hyperlink"/>
            <w:lang w:val="fr-FR"/>
          </w:rPr>
          <w:t>Autres mécanismes pour l’attribution de ressources programmatiques</w:t>
        </w:r>
        <w:r w:rsidR="001D71AD">
          <w:rPr>
            <w:webHidden/>
          </w:rPr>
          <w:tab/>
        </w:r>
        <w:r w:rsidR="001D71AD">
          <w:rPr>
            <w:webHidden/>
          </w:rPr>
          <w:fldChar w:fldCharType="begin"/>
        </w:r>
        <w:r w:rsidR="001D71AD">
          <w:rPr>
            <w:webHidden/>
          </w:rPr>
          <w:instrText xml:space="preserve"> PAGEREF _Toc363918453 \h </w:instrText>
        </w:r>
        <w:r w:rsidR="001D71AD">
          <w:rPr>
            <w:webHidden/>
          </w:rPr>
        </w:r>
        <w:r w:rsidR="001D71AD">
          <w:rPr>
            <w:webHidden/>
          </w:rPr>
          <w:fldChar w:fldCharType="separate"/>
        </w:r>
        <w:r w:rsidR="001D71AD">
          <w:rPr>
            <w:webHidden/>
          </w:rPr>
          <w:t>32</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4" w:history="1">
        <w:r w:rsidR="001D71AD" w:rsidRPr="0079061A">
          <w:rPr>
            <w:rStyle w:val="Hyperlink"/>
            <w:lang w:val="en-US"/>
          </w:rPr>
          <w:t>A.</w:t>
        </w:r>
        <w:r w:rsidR="001D71AD" w:rsidRPr="007F579D">
          <w:rPr>
            <w:rFonts w:ascii="Calibri" w:hAnsi="Calibri"/>
            <w:sz w:val="22"/>
            <w:szCs w:val="22"/>
            <w:lang w:val="fr-FR" w:eastAsia="fr-FR"/>
          </w:rPr>
          <w:tab/>
        </w:r>
        <w:r w:rsidR="001D71AD" w:rsidRPr="0079061A">
          <w:rPr>
            <w:rStyle w:val="Hyperlink"/>
            <w:lang w:val="en-US"/>
          </w:rPr>
          <w:t>Fonds de secours</w:t>
        </w:r>
        <w:r w:rsidR="001D71AD">
          <w:rPr>
            <w:webHidden/>
          </w:rPr>
          <w:tab/>
        </w:r>
        <w:r w:rsidR="001D71AD">
          <w:rPr>
            <w:webHidden/>
          </w:rPr>
          <w:fldChar w:fldCharType="begin"/>
        </w:r>
        <w:r w:rsidR="001D71AD">
          <w:rPr>
            <w:webHidden/>
          </w:rPr>
          <w:instrText xml:space="preserve"> PAGEREF _Toc363918454 \h </w:instrText>
        </w:r>
        <w:r w:rsidR="001D71AD">
          <w:rPr>
            <w:webHidden/>
          </w:rPr>
        </w:r>
        <w:r w:rsidR="001D71AD">
          <w:rPr>
            <w:webHidden/>
          </w:rPr>
          <w:fldChar w:fldCharType="separate"/>
        </w:r>
        <w:r w:rsidR="001D71AD">
          <w:rPr>
            <w:webHidden/>
          </w:rPr>
          <w:t>32</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5" w:history="1">
        <w:r w:rsidR="001D71AD" w:rsidRPr="0079061A">
          <w:rPr>
            <w:rStyle w:val="Hyperlink"/>
            <w:lang w:val="fr-CA"/>
          </w:rPr>
          <w:t>B.</w:t>
        </w:r>
        <w:r w:rsidR="001D71AD" w:rsidRPr="007F579D">
          <w:rPr>
            <w:rFonts w:ascii="Calibri" w:hAnsi="Calibri"/>
            <w:sz w:val="22"/>
            <w:szCs w:val="22"/>
            <w:lang w:val="fr-FR" w:eastAsia="fr-FR"/>
          </w:rPr>
          <w:tab/>
        </w:r>
        <w:r w:rsidR="001D71AD" w:rsidRPr="0079061A">
          <w:rPr>
            <w:rStyle w:val="Hyperlink"/>
            <w:lang w:val="fr-CA"/>
          </w:rPr>
          <w:t>Fonds Opportunités</w:t>
        </w:r>
        <w:r w:rsidR="001D71AD">
          <w:rPr>
            <w:webHidden/>
          </w:rPr>
          <w:tab/>
        </w:r>
        <w:r w:rsidR="001D71AD">
          <w:rPr>
            <w:webHidden/>
          </w:rPr>
          <w:fldChar w:fldCharType="begin"/>
        </w:r>
        <w:r w:rsidR="001D71AD">
          <w:rPr>
            <w:webHidden/>
          </w:rPr>
          <w:instrText xml:space="preserve"> PAGEREF _Toc363918455 \h </w:instrText>
        </w:r>
        <w:r w:rsidR="001D71AD">
          <w:rPr>
            <w:webHidden/>
          </w:rPr>
        </w:r>
        <w:r w:rsidR="001D71AD">
          <w:rPr>
            <w:webHidden/>
          </w:rPr>
          <w:fldChar w:fldCharType="separate"/>
        </w:r>
        <w:r w:rsidR="001D71AD">
          <w:rPr>
            <w:webHidden/>
          </w:rPr>
          <w:t>32</w:t>
        </w:r>
        <w:r w:rsidR="001D71AD">
          <w:rPr>
            <w:webHidden/>
          </w:rPr>
          <w:fldChar w:fldCharType="end"/>
        </w:r>
      </w:hyperlink>
    </w:p>
    <w:p w:rsidR="001D71AD" w:rsidRPr="007F579D" w:rsidRDefault="0065298A">
      <w:pPr>
        <w:pStyle w:val="TOC2"/>
        <w:rPr>
          <w:rFonts w:ascii="Calibri" w:hAnsi="Calibri"/>
          <w:sz w:val="22"/>
          <w:szCs w:val="22"/>
          <w:lang w:val="fr-FR" w:eastAsia="fr-FR"/>
        </w:rPr>
      </w:pPr>
      <w:hyperlink w:anchor="_Toc363918456" w:history="1">
        <w:r w:rsidR="001D71AD" w:rsidRPr="0079061A">
          <w:rPr>
            <w:rStyle w:val="Hyperlink"/>
          </w:rPr>
          <w:t>C.</w:t>
        </w:r>
        <w:r w:rsidR="001D71AD" w:rsidRPr="007F579D">
          <w:rPr>
            <w:rFonts w:ascii="Calibri" w:hAnsi="Calibri"/>
            <w:sz w:val="22"/>
            <w:szCs w:val="22"/>
            <w:lang w:val="fr-FR" w:eastAsia="fr-FR"/>
          </w:rPr>
          <w:tab/>
        </w:r>
        <w:r w:rsidR="001D71AD" w:rsidRPr="0079061A">
          <w:rPr>
            <w:rStyle w:val="Hyperlink"/>
            <w:lang w:val="fr-FR"/>
          </w:rPr>
          <w:t>Renforcer les mécanismes pour optimiser les ressources à travers l’organisation</w:t>
        </w:r>
        <w:r w:rsidR="001D71AD">
          <w:rPr>
            <w:webHidden/>
          </w:rPr>
          <w:tab/>
        </w:r>
        <w:r w:rsidR="001D71AD">
          <w:rPr>
            <w:webHidden/>
          </w:rPr>
          <w:fldChar w:fldCharType="begin"/>
        </w:r>
        <w:r w:rsidR="001D71AD">
          <w:rPr>
            <w:webHidden/>
          </w:rPr>
          <w:instrText xml:space="preserve"> PAGEREF _Toc363918456 \h </w:instrText>
        </w:r>
        <w:r w:rsidR="001D71AD">
          <w:rPr>
            <w:webHidden/>
          </w:rPr>
        </w:r>
        <w:r w:rsidR="001D71AD">
          <w:rPr>
            <w:webHidden/>
          </w:rPr>
          <w:fldChar w:fldCharType="separate"/>
        </w:r>
        <w:r w:rsidR="001D71AD">
          <w:rPr>
            <w:webHidden/>
          </w:rPr>
          <w:t>34</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57" w:history="1">
        <w:r w:rsidR="001D71AD" w:rsidRPr="0079061A">
          <w:rPr>
            <w:rStyle w:val="Hyperlink"/>
            <w:lang w:val="fr-CA"/>
          </w:rPr>
          <w:t>VI.</w:t>
        </w:r>
        <w:r w:rsidR="001D71AD" w:rsidRPr="007F579D">
          <w:rPr>
            <w:rFonts w:ascii="Calibri" w:hAnsi="Calibri"/>
            <w:sz w:val="22"/>
            <w:szCs w:val="22"/>
            <w:lang w:val="fr-FR" w:eastAsia="fr-FR"/>
          </w:rPr>
          <w:tab/>
        </w:r>
        <w:r w:rsidR="001D71AD" w:rsidRPr="0079061A">
          <w:rPr>
            <w:rStyle w:val="Hyperlink"/>
            <w:lang w:val="fr-CA"/>
          </w:rPr>
          <w:t>Avantages des nouvelles approches</w:t>
        </w:r>
        <w:r w:rsidR="001D71AD">
          <w:rPr>
            <w:webHidden/>
          </w:rPr>
          <w:tab/>
        </w:r>
        <w:r w:rsidR="001D71AD">
          <w:rPr>
            <w:webHidden/>
          </w:rPr>
          <w:fldChar w:fldCharType="begin"/>
        </w:r>
        <w:r w:rsidR="001D71AD">
          <w:rPr>
            <w:webHidden/>
          </w:rPr>
          <w:instrText xml:space="preserve"> PAGEREF _Toc363918457 \h </w:instrText>
        </w:r>
        <w:r w:rsidR="001D71AD">
          <w:rPr>
            <w:webHidden/>
          </w:rPr>
        </w:r>
        <w:r w:rsidR="001D71AD">
          <w:rPr>
            <w:webHidden/>
          </w:rPr>
          <w:fldChar w:fldCharType="separate"/>
        </w:r>
        <w:r w:rsidR="001D71AD">
          <w:rPr>
            <w:webHidden/>
          </w:rPr>
          <w:t>34</w:t>
        </w:r>
        <w:r w:rsidR="001D71AD">
          <w:rPr>
            <w:webHidden/>
          </w:rPr>
          <w:fldChar w:fldCharType="end"/>
        </w:r>
      </w:hyperlink>
    </w:p>
    <w:p w:rsidR="001D71AD" w:rsidRPr="007F579D" w:rsidRDefault="0065298A">
      <w:pPr>
        <w:pStyle w:val="TOC1"/>
        <w:rPr>
          <w:rFonts w:ascii="Calibri" w:hAnsi="Calibri"/>
          <w:sz w:val="22"/>
          <w:szCs w:val="22"/>
          <w:lang w:val="fr-FR" w:eastAsia="fr-FR"/>
        </w:rPr>
      </w:pPr>
      <w:hyperlink w:anchor="_Toc363918458" w:history="1">
        <w:r w:rsidR="001D71AD" w:rsidRPr="0079061A">
          <w:rPr>
            <w:rStyle w:val="Hyperlink"/>
            <w:lang w:val="fr-CA"/>
          </w:rPr>
          <w:t>Appendice : Classification des pays</w:t>
        </w:r>
        <w:r w:rsidR="001D71AD">
          <w:rPr>
            <w:webHidden/>
          </w:rPr>
          <w:tab/>
        </w:r>
        <w:r w:rsidR="001D71AD">
          <w:rPr>
            <w:webHidden/>
          </w:rPr>
          <w:fldChar w:fldCharType="begin"/>
        </w:r>
        <w:r w:rsidR="001D71AD">
          <w:rPr>
            <w:webHidden/>
          </w:rPr>
          <w:instrText xml:space="preserve"> PAGEREF _Toc363918458 \h </w:instrText>
        </w:r>
        <w:r w:rsidR="001D71AD">
          <w:rPr>
            <w:webHidden/>
          </w:rPr>
        </w:r>
        <w:r w:rsidR="001D71AD">
          <w:rPr>
            <w:webHidden/>
          </w:rPr>
          <w:fldChar w:fldCharType="separate"/>
        </w:r>
        <w:r w:rsidR="001D71AD">
          <w:rPr>
            <w:webHidden/>
          </w:rPr>
          <w:t>36</w:t>
        </w:r>
        <w:r w:rsidR="001D71AD">
          <w:rPr>
            <w:webHidden/>
          </w:rPr>
          <w:fldChar w:fldCharType="end"/>
        </w:r>
      </w:hyperlink>
    </w:p>
    <w:p w:rsidR="001D71AD" w:rsidRPr="009176C2" w:rsidRDefault="001D71AD">
      <w:r w:rsidRPr="001E159F">
        <w:rPr>
          <w:lang w:val="fr-FR"/>
        </w:rPr>
        <w:fldChar w:fldCharType="end"/>
      </w:r>
    </w:p>
    <w:p w:rsidR="001D71AD" w:rsidRDefault="001D71AD" w:rsidP="00F5175D">
      <w:pPr>
        <w:tabs>
          <w:tab w:val="left" w:pos="1080"/>
          <w:tab w:val="left" w:pos="1296"/>
          <w:tab w:val="left" w:pos="1728"/>
          <w:tab w:val="left" w:pos="2160"/>
          <w:tab w:val="right" w:leader="dot" w:pos="9360"/>
        </w:tabs>
        <w:ind w:left="540"/>
        <w:jc w:val="both"/>
        <w:rPr>
          <w:b/>
        </w:rPr>
      </w:pPr>
    </w:p>
    <w:p w:rsidR="001D71AD" w:rsidRPr="009176C2" w:rsidRDefault="001D71AD" w:rsidP="00F5175D">
      <w:pPr>
        <w:tabs>
          <w:tab w:val="left" w:pos="1080"/>
          <w:tab w:val="left" w:pos="1296"/>
          <w:tab w:val="left" w:pos="1728"/>
          <w:tab w:val="left" w:pos="2160"/>
          <w:tab w:val="right" w:leader="dot" w:pos="9360"/>
        </w:tabs>
        <w:ind w:left="540"/>
        <w:jc w:val="both"/>
        <w:rPr>
          <w:b/>
        </w:rPr>
      </w:pPr>
    </w:p>
    <w:p w:rsidR="001D71AD" w:rsidRPr="009176C2" w:rsidRDefault="001D71AD" w:rsidP="00F749FB">
      <w:pPr>
        <w:tabs>
          <w:tab w:val="left" w:pos="1080"/>
          <w:tab w:val="left" w:pos="1296"/>
          <w:tab w:val="left" w:pos="1728"/>
          <w:tab w:val="left" w:pos="2160"/>
          <w:tab w:val="right" w:leader="dot" w:pos="9360"/>
        </w:tabs>
        <w:ind w:left="540"/>
        <w:jc w:val="center"/>
        <w:rPr>
          <w:b/>
          <w:u w:val="single"/>
        </w:rPr>
      </w:pPr>
    </w:p>
    <w:p w:rsidR="001D71AD" w:rsidRPr="009E5D7B" w:rsidRDefault="001D71AD" w:rsidP="00BB13A1">
      <w:pPr>
        <w:pStyle w:val="Heading1"/>
        <w:numPr>
          <w:ilvl w:val="0"/>
          <w:numId w:val="5"/>
        </w:numPr>
        <w:rPr>
          <w:lang w:val="en-GB"/>
        </w:rPr>
      </w:pPr>
      <w:r w:rsidRPr="009176C2">
        <w:rPr>
          <w:sz w:val="22"/>
          <w:szCs w:val="22"/>
        </w:rPr>
        <w:br w:type="page"/>
      </w:r>
      <w:bookmarkStart w:id="1" w:name="_Toc363918441"/>
      <w:r w:rsidRPr="009E5D7B">
        <w:rPr>
          <w:lang w:val="en-GB"/>
        </w:rPr>
        <w:lastRenderedPageBreak/>
        <w:t>Introduction</w:t>
      </w:r>
      <w:bookmarkEnd w:id="1"/>
    </w:p>
    <w:p w:rsidR="001D71AD" w:rsidRPr="009176C2" w:rsidRDefault="001D71AD" w:rsidP="00B8541A">
      <w:pPr>
        <w:tabs>
          <w:tab w:val="left" w:pos="475"/>
        </w:tabs>
      </w:pPr>
    </w:p>
    <w:p w:rsidR="001D71AD" w:rsidRPr="00C96CD4" w:rsidRDefault="001D71AD" w:rsidP="00BB13A1">
      <w:pPr>
        <w:numPr>
          <w:ilvl w:val="0"/>
          <w:numId w:val="4"/>
        </w:numPr>
        <w:tabs>
          <w:tab w:val="left" w:pos="475"/>
          <w:tab w:val="left" w:pos="1080"/>
        </w:tabs>
        <w:ind w:right="720"/>
        <w:jc w:val="both"/>
        <w:rPr>
          <w:lang w:val="fr-FR"/>
        </w:rPr>
      </w:pPr>
      <w:r w:rsidRPr="005D68C3">
        <w:rPr>
          <w:color w:val="000000"/>
          <w:lang w:val="fr-FR"/>
        </w:rPr>
        <w:t xml:space="preserve">Cette annexe au plan stratégique 2014-2017, traite des </w:t>
      </w:r>
      <w:r>
        <w:rPr>
          <w:color w:val="000000"/>
          <w:lang w:val="fr-FR"/>
        </w:rPr>
        <w:t xml:space="preserve">modalités </w:t>
      </w:r>
      <w:r w:rsidRPr="005D68C3">
        <w:rPr>
          <w:color w:val="000000"/>
          <w:lang w:val="fr-FR"/>
        </w:rPr>
        <w:t xml:space="preserve">de financement de l’UNFPA. Elle </w:t>
      </w:r>
      <w:r>
        <w:rPr>
          <w:color w:val="000000"/>
          <w:lang w:val="fr-FR"/>
        </w:rPr>
        <w:t xml:space="preserve">porte </w:t>
      </w:r>
      <w:r w:rsidRPr="005D68C3">
        <w:rPr>
          <w:color w:val="000000"/>
          <w:lang w:val="fr-FR"/>
        </w:rPr>
        <w:t xml:space="preserve">en particulier </w:t>
      </w:r>
      <w:r>
        <w:rPr>
          <w:color w:val="000000"/>
          <w:lang w:val="fr-FR"/>
        </w:rPr>
        <w:t xml:space="preserve">sur les </w:t>
      </w:r>
      <w:r w:rsidRPr="005D68C3">
        <w:rPr>
          <w:color w:val="000000"/>
          <w:lang w:val="fr-FR"/>
        </w:rPr>
        <w:t xml:space="preserve">quatre éléments principaux suivants : </w:t>
      </w:r>
    </w:p>
    <w:p w:rsidR="001D71AD" w:rsidRPr="005D68C3" w:rsidRDefault="001D71AD" w:rsidP="00BB13A1">
      <w:pPr>
        <w:numPr>
          <w:ilvl w:val="0"/>
          <w:numId w:val="23"/>
        </w:numPr>
        <w:tabs>
          <w:tab w:val="left" w:pos="475"/>
        </w:tabs>
        <w:ind w:left="1890" w:right="720"/>
        <w:jc w:val="both"/>
        <w:rPr>
          <w:lang w:val="fr-FR"/>
        </w:rPr>
      </w:pPr>
      <w:r w:rsidRPr="005D68C3">
        <w:rPr>
          <w:lang w:val="fr-FR"/>
        </w:rPr>
        <w:t>L’architecture au trave</w:t>
      </w:r>
      <w:r>
        <w:rPr>
          <w:lang w:val="fr-FR"/>
        </w:rPr>
        <w:t>r</w:t>
      </w:r>
      <w:r w:rsidRPr="005D68C3">
        <w:rPr>
          <w:lang w:val="fr-FR"/>
        </w:rPr>
        <w:t xml:space="preserve">s de laquelle l’organisation alloue ses ressources pour financer les activités des programmes et celles de gestion ; </w:t>
      </w:r>
    </w:p>
    <w:p w:rsidR="001D71AD" w:rsidRPr="00117F19" w:rsidRDefault="001D71AD" w:rsidP="00BB13A1">
      <w:pPr>
        <w:numPr>
          <w:ilvl w:val="0"/>
          <w:numId w:val="23"/>
        </w:numPr>
        <w:ind w:left="1890" w:right="720"/>
        <w:jc w:val="both"/>
        <w:rPr>
          <w:lang w:val="fr-FR"/>
        </w:rPr>
      </w:pPr>
      <w:r w:rsidRPr="00117F19">
        <w:rPr>
          <w:lang w:val="fr-FR"/>
        </w:rPr>
        <w:t>Le financement des interventions aux niveaux mondial et régional (jusqu’alors appel</w:t>
      </w:r>
      <w:r>
        <w:rPr>
          <w:lang w:val="fr-FR"/>
        </w:rPr>
        <w:t>ées le programme mondial et régional [PMR]</w:t>
      </w:r>
      <w:r w:rsidRPr="00117F19">
        <w:rPr>
          <w:lang w:val="fr-FR"/>
        </w:rPr>
        <w:t>);</w:t>
      </w:r>
    </w:p>
    <w:p w:rsidR="001D71AD" w:rsidRPr="00C96CD4" w:rsidRDefault="001D71AD" w:rsidP="00BB13A1">
      <w:pPr>
        <w:numPr>
          <w:ilvl w:val="0"/>
          <w:numId w:val="23"/>
        </w:numPr>
        <w:ind w:left="1890" w:right="720"/>
        <w:jc w:val="both"/>
        <w:rPr>
          <w:lang w:val="fr-FR"/>
        </w:rPr>
      </w:pPr>
      <w:r w:rsidRPr="00C96CD4">
        <w:rPr>
          <w:lang w:val="fr-FR"/>
        </w:rPr>
        <w:t>Le système d’affectation des ressources (SAR)</w:t>
      </w:r>
      <w:r>
        <w:rPr>
          <w:lang w:val="fr-FR"/>
        </w:rPr>
        <w:t xml:space="preserve"> qui attribu</w:t>
      </w:r>
      <w:r w:rsidRPr="00C96CD4">
        <w:rPr>
          <w:lang w:val="fr-FR"/>
        </w:rPr>
        <w:t>e les ressources au niveau du pays</w:t>
      </w:r>
      <w:r>
        <w:rPr>
          <w:lang w:val="fr-FR"/>
        </w:rPr>
        <w:t xml:space="preserve"> ; et </w:t>
      </w:r>
    </w:p>
    <w:p w:rsidR="001D71AD" w:rsidRPr="0016332F" w:rsidRDefault="001D71AD" w:rsidP="00BB13A1">
      <w:pPr>
        <w:numPr>
          <w:ilvl w:val="0"/>
          <w:numId w:val="23"/>
        </w:numPr>
        <w:ind w:left="1890" w:right="720"/>
        <w:jc w:val="both"/>
        <w:rPr>
          <w:lang w:val="fr-FR"/>
        </w:rPr>
      </w:pPr>
      <w:r w:rsidRPr="0016332F">
        <w:rPr>
          <w:lang w:val="fr-FR"/>
        </w:rPr>
        <w:t xml:space="preserve">D’autres mécanismes d’affectation de ressources </w:t>
      </w:r>
      <w:r>
        <w:rPr>
          <w:lang w:val="fr-FR"/>
        </w:rPr>
        <w:t>aux programmes, notamment le Fonds de Secours et le fonds d’Opportunités.</w:t>
      </w:r>
    </w:p>
    <w:p w:rsidR="001D71AD" w:rsidRPr="0016332F" w:rsidRDefault="001D71AD" w:rsidP="00FB0B93">
      <w:pPr>
        <w:tabs>
          <w:tab w:val="left" w:pos="475"/>
        </w:tabs>
        <w:ind w:left="1080" w:right="720"/>
        <w:jc w:val="both"/>
        <w:rPr>
          <w:color w:val="000000"/>
          <w:lang w:val="fr-FR"/>
        </w:rPr>
      </w:pPr>
    </w:p>
    <w:p w:rsidR="001D71AD" w:rsidRPr="0016332F" w:rsidRDefault="001D71AD" w:rsidP="00336C0A">
      <w:pPr>
        <w:ind w:left="1080" w:right="720"/>
        <w:jc w:val="both"/>
        <w:rPr>
          <w:color w:val="000000"/>
          <w:lang w:val="fr-FR"/>
        </w:rPr>
      </w:pPr>
    </w:p>
    <w:p w:rsidR="001D71AD" w:rsidRPr="009176C2" w:rsidRDefault="001D71AD" w:rsidP="00BB13A1">
      <w:pPr>
        <w:pStyle w:val="Heading1"/>
        <w:numPr>
          <w:ilvl w:val="0"/>
          <w:numId w:val="5"/>
        </w:numPr>
        <w:rPr>
          <w:lang w:val="en-GB"/>
        </w:rPr>
      </w:pPr>
      <w:bookmarkStart w:id="2" w:name="_Toc363918442"/>
      <w:r>
        <w:rPr>
          <w:lang w:val="en-GB"/>
        </w:rPr>
        <w:t>Architecture</w:t>
      </w:r>
      <w:bookmarkEnd w:id="2"/>
    </w:p>
    <w:p w:rsidR="001D71AD" w:rsidRPr="009176C2" w:rsidRDefault="001D71AD" w:rsidP="007276EB">
      <w:pPr>
        <w:ind w:left="1080" w:right="720"/>
        <w:jc w:val="both"/>
        <w:rPr>
          <w:szCs w:val="24"/>
        </w:rPr>
      </w:pPr>
    </w:p>
    <w:p w:rsidR="001D71AD" w:rsidRPr="000462E4" w:rsidRDefault="001D71AD" w:rsidP="00BB13A1">
      <w:pPr>
        <w:numPr>
          <w:ilvl w:val="0"/>
          <w:numId w:val="4"/>
        </w:numPr>
        <w:tabs>
          <w:tab w:val="left" w:pos="1530"/>
        </w:tabs>
        <w:ind w:left="1530" w:right="720" w:hanging="630"/>
        <w:jc w:val="both"/>
        <w:rPr>
          <w:lang w:val="fr-FR"/>
        </w:rPr>
      </w:pPr>
      <w:r w:rsidRPr="00745661">
        <w:rPr>
          <w:lang w:val="fr-FR"/>
        </w:rPr>
        <w:t>L’UNFPA reçoit des ressources de deux manières : l</w:t>
      </w:r>
      <w:r>
        <w:rPr>
          <w:lang w:val="fr-FR"/>
        </w:rPr>
        <w:t xml:space="preserve">es ressources de base et les autres </w:t>
      </w:r>
      <w:r w:rsidRPr="00745661">
        <w:rPr>
          <w:lang w:val="fr-FR"/>
        </w:rPr>
        <w:t>(</w:t>
      </w:r>
      <w:r>
        <w:rPr>
          <w:lang w:val="fr-FR"/>
        </w:rPr>
        <w:t>autres que les ressources de base)</w:t>
      </w:r>
      <w:r w:rsidRPr="00745661">
        <w:rPr>
          <w:lang w:val="fr-FR"/>
        </w:rPr>
        <w:t xml:space="preserve">.  Les premières sont le financement de base de l’organisation alors que les dernières </w:t>
      </w:r>
      <w:r>
        <w:rPr>
          <w:lang w:val="fr-FR"/>
        </w:rPr>
        <w:t xml:space="preserve">sont destinées à servir à des projets ou à des programmes particuliers. </w:t>
      </w:r>
      <w:r w:rsidRPr="00D26488">
        <w:rPr>
          <w:lang w:val="fr-FR"/>
        </w:rPr>
        <w:t>L’UNFPA a toujours reçu la majorité de son financement de</w:t>
      </w:r>
      <w:r>
        <w:rPr>
          <w:lang w:val="fr-FR"/>
        </w:rPr>
        <w:t>s</w:t>
      </w:r>
      <w:r w:rsidRPr="00D26488">
        <w:rPr>
          <w:lang w:val="fr-FR"/>
        </w:rPr>
        <w:t xml:space="preserve"> ressources générales bien que la part des autres ressources ait augmenté au cours des récentes années, atteignant 54% </w:t>
      </w:r>
      <w:r>
        <w:rPr>
          <w:lang w:val="fr-FR"/>
        </w:rPr>
        <w:t xml:space="preserve">en </w:t>
      </w:r>
      <w:r w:rsidRPr="00D26488">
        <w:rPr>
          <w:lang w:val="fr-FR"/>
        </w:rPr>
        <w:t>2012 (</w:t>
      </w:r>
      <w:r>
        <w:rPr>
          <w:lang w:val="fr-FR"/>
        </w:rPr>
        <w:t xml:space="preserve">en hausse par rapport à une moyenne de </w:t>
      </w:r>
      <w:r w:rsidRPr="00D26488">
        <w:rPr>
          <w:lang w:val="fr-FR"/>
        </w:rPr>
        <w:t xml:space="preserve">43% </w:t>
      </w:r>
      <w:r>
        <w:rPr>
          <w:lang w:val="fr-FR"/>
        </w:rPr>
        <w:t>au cours des cinq années précédentes)</w:t>
      </w:r>
      <w:r w:rsidRPr="00D26488">
        <w:rPr>
          <w:lang w:val="fr-FR"/>
        </w:rPr>
        <w:t xml:space="preserve">. </w:t>
      </w:r>
      <w:r w:rsidRPr="000462E4">
        <w:rPr>
          <w:lang w:val="fr-FR"/>
        </w:rPr>
        <w:t xml:space="preserve">Si l’on se fie à l’expérience des autres organismes onusiens comme l’UNDP et l’UNICEF, cette tendance va </w:t>
      </w:r>
      <w:r>
        <w:rPr>
          <w:lang w:val="fr-FR"/>
        </w:rPr>
        <w:t xml:space="preserve">selon toute vraisemblance, </w:t>
      </w:r>
      <w:r w:rsidRPr="000462E4">
        <w:rPr>
          <w:lang w:val="fr-FR"/>
        </w:rPr>
        <w:t>se poursuivre</w:t>
      </w:r>
      <w:r>
        <w:rPr>
          <w:lang w:val="fr-FR"/>
        </w:rPr>
        <w:t xml:space="preserve"> et il est donc important que l’organisation en analyse les conséquences et s’y prépare. </w:t>
      </w:r>
    </w:p>
    <w:p w:rsidR="001D71AD" w:rsidRPr="000462E4" w:rsidRDefault="001D71AD" w:rsidP="006251A4">
      <w:pPr>
        <w:ind w:left="1080" w:right="720"/>
        <w:jc w:val="both"/>
        <w:rPr>
          <w:lang w:val="fr-FR"/>
        </w:rPr>
      </w:pPr>
    </w:p>
    <w:p w:rsidR="001D71AD" w:rsidRDefault="001D71AD" w:rsidP="00BB13A1">
      <w:pPr>
        <w:numPr>
          <w:ilvl w:val="0"/>
          <w:numId w:val="4"/>
        </w:numPr>
        <w:ind w:left="1080" w:right="720" w:firstLine="0"/>
        <w:jc w:val="both"/>
        <w:rPr>
          <w:lang w:val="fr-FR"/>
        </w:rPr>
      </w:pPr>
      <w:r>
        <w:rPr>
          <w:lang w:val="fr-FR"/>
        </w:rPr>
        <w:t xml:space="preserve">Les ressources des </w:t>
      </w:r>
      <w:r w:rsidRPr="001D0A84">
        <w:rPr>
          <w:lang w:val="fr-FR"/>
        </w:rPr>
        <w:t xml:space="preserve">catégories principales </w:t>
      </w:r>
      <w:r>
        <w:rPr>
          <w:lang w:val="fr-FR"/>
        </w:rPr>
        <w:t>« </w:t>
      </w:r>
      <w:r w:rsidRPr="001D0A84">
        <w:rPr>
          <w:lang w:val="fr-FR"/>
        </w:rPr>
        <w:t>ressources de base</w:t>
      </w:r>
      <w:r>
        <w:rPr>
          <w:lang w:val="fr-FR"/>
        </w:rPr>
        <w:t> » et « </w:t>
      </w:r>
      <w:r w:rsidRPr="001D0A84">
        <w:rPr>
          <w:lang w:val="fr-FR"/>
        </w:rPr>
        <w:t>autres</w:t>
      </w:r>
      <w:r>
        <w:rPr>
          <w:lang w:val="fr-FR"/>
        </w:rPr>
        <w:t> »</w:t>
      </w:r>
      <w:r w:rsidRPr="001D0A84">
        <w:rPr>
          <w:lang w:val="fr-FR"/>
        </w:rPr>
        <w:t xml:space="preserve"> ressources</w:t>
      </w:r>
      <w:r>
        <w:rPr>
          <w:lang w:val="fr-FR"/>
        </w:rPr>
        <w:t xml:space="preserve">, </w:t>
      </w:r>
      <w:r w:rsidRPr="001D0A84">
        <w:rPr>
          <w:lang w:val="fr-FR"/>
        </w:rPr>
        <w:t xml:space="preserve">sont utilisées de manières différentes: </w:t>
      </w:r>
    </w:p>
    <w:p w:rsidR="001D71AD" w:rsidRPr="002F4735" w:rsidRDefault="001D71AD" w:rsidP="00BB13A1">
      <w:pPr>
        <w:numPr>
          <w:ilvl w:val="0"/>
          <w:numId w:val="24"/>
        </w:numPr>
        <w:ind w:left="1890" w:right="720"/>
        <w:jc w:val="both"/>
        <w:rPr>
          <w:lang w:val="fr-FR"/>
        </w:rPr>
      </w:pPr>
      <w:r w:rsidRPr="00147B55">
        <w:rPr>
          <w:lang w:val="fr-FR"/>
        </w:rPr>
        <w:t>Le système d’attribution des ressources : ressources de base utilisées aux fins de r</w:t>
      </w:r>
      <w:r>
        <w:rPr>
          <w:lang w:val="fr-FR"/>
        </w:rPr>
        <w:t xml:space="preserve">éaliser les programmes au niveau du pays (qui sont en réalité déterminées dans les documents du programme de pays) ; </w:t>
      </w:r>
    </w:p>
    <w:p w:rsidR="001D71AD" w:rsidRPr="002F4735" w:rsidRDefault="001D71AD" w:rsidP="00BB13A1">
      <w:pPr>
        <w:numPr>
          <w:ilvl w:val="0"/>
          <w:numId w:val="24"/>
        </w:numPr>
        <w:ind w:left="1890" w:right="720"/>
        <w:jc w:val="both"/>
        <w:rPr>
          <w:lang w:val="fr-FR"/>
        </w:rPr>
      </w:pPr>
      <w:r w:rsidRPr="002F4735">
        <w:rPr>
          <w:lang w:val="fr-FR"/>
        </w:rPr>
        <w:t xml:space="preserve">Le programme mondial et </w:t>
      </w:r>
      <w:r>
        <w:rPr>
          <w:lang w:val="fr-FR"/>
        </w:rPr>
        <w:t>ré</w:t>
      </w:r>
      <w:r w:rsidRPr="002F4735">
        <w:rPr>
          <w:lang w:val="fr-FR"/>
        </w:rPr>
        <w:t>gional : ressources de base utilis</w:t>
      </w:r>
      <w:r>
        <w:rPr>
          <w:lang w:val="fr-FR"/>
        </w:rPr>
        <w:t>é</w:t>
      </w:r>
      <w:r w:rsidRPr="002F4735">
        <w:rPr>
          <w:lang w:val="fr-FR"/>
        </w:rPr>
        <w:t xml:space="preserve">es aux fins des programmes aux niveaux mondial et régional ; </w:t>
      </w:r>
    </w:p>
    <w:p w:rsidR="001D71AD" w:rsidRPr="002F4735" w:rsidRDefault="001D71AD" w:rsidP="00BB13A1">
      <w:pPr>
        <w:numPr>
          <w:ilvl w:val="0"/>
          <w:numId w:val="24"/>
        </w:numPr>
        <w:ind w:left="1890" w:right="720"/>
        <w:jc w:val="both"/>
        <w:rPr>
          <w:lang w:val="fr-FR"/>
        </w:rPr>
      </w:pPr>
      <w:r w:rsidRPr="002F4735">
        <w:rPr>
          <w:lang w:val="fr-FR"/>
        </w:rPr>
        <w:t>Le budget institutionnel (qui comprend à la fois des ressources de base et d</w:t>
      </w:r>
      <w:r>
        <w:rPr>
          <w:lang w:val="fr-FR"/>
        </w:rPr>
        <w:t xml:space="preserve">’autres ressources) : ressources utilisées pour les activités d’efficacité du développement et de gestion </w:t>
      </w:r>
      <w:r w:rsidRPr="002F4735">
        <w:rPr>
          <w:lang w:val="fr-FR"/>
        </w:rPr>
        <w:t>;</w:t>
      </w:r>
    </w:p>
    <w:p w:rsidR="001D71AD" w:rsidRPr="001D5053" w:rsidRDefault="001D71AD" w:rsidP="00BB13A1">
      <w:pPr>
        <w:numPr>
          <w:ilvl w:val="0"/>
          <w:numId w:val="24"/>
        </w:numPr>
        <w:ind w:left="1890" w:right="720"/>
        <w:jc w:val="both"/>
        <w:rPr>
          <w:lang w:val="fr-FR"/>
        </w:rPr>
      </w:pPr>
      <w:r w:rsidRPr="001D5053">
        <w:rPr>
          <w:lang w:val="fr-FR"/>
        </w:rPr>
        <w:t>Les fonds thématiques: mécanismes de financement d’autres ressources utilis</w:t>
      </w:r>
      <w:r>
        <w:rPr>
          <w:lang w:val="fr-FR"/>
        </w:rPr>
        <w:t>é</w:t>
      </w:r>
      <w:r w:rsidRPr="001D5053">
        <w:rPr>
          <w:lang w:val="fr-FR"/>
        </w:rPr>
        <w:t xml:space="preserve">es à des fins spécifiques comme le programme mondial de sécurisation des produits de santé de la reproduction et le fonds thématique de santé maternelle ; et </w:t>
      </w:r>
    </w:p>
    <w:p w:rsidR="001D71AD" w:rsidRDefault="001D71AD" w:rsidP="00BB13A1">
      <w:pPr>
        <w:numPr>
          <w:ilvl w:val="0"/>
          <w:numId w:val="24"/>
        </w:numPr>
        <w:ind w:left="1890" w:right="720"/>
        <w:jc w:val="both"/>
        <w:rPr>
          <w:lang w:val="fr-FR"/>
        </w:rPr>
      </w:pPr>
      <w:r w:rsidRPr="006338D5">
        <w:rPr>
          <w:lang w:val="fr-FR"/>
        </w:rPr>
        <w:t xml:space="preserve">Les </w:t>
      </w:r>
      <w:r>
        <w:rPr>
          <w:lang w:val="fr-FR"/>
        </w:rPr>
        <w:t xml:space="preserve">autres </w:t>
      </w:r>
      <w:r w:rsidRPr="006338D5">
        <w:rPr>
          <w:lang w:val="fr-FR"/>
        </w:rPr>
        <w:t>fonds affectés : ressources générées par d’autres moyens (comme ceux provenant du Fonds central pour les interventions d’urgence</w:t>
      </w:r>
      <w:r>
        <w:rPr>
          <w:lang w:val="fr-FR"/>
        </w:rPr>
        <w:t xml:space="preserve"> ou des gouvernements pour la programmation dans leurs propres pays</w:t>
      </w:r>
      <w:r w:rsidRPr="006338D5">
        <w:rPr>
          <w:lang w:val="fr-FR"/>
        </w:rPr>
        <w:t xml:space="preserve">) et qui servent à des fins spécifiques. </w:t>
      </w:r>
    </w:p>
    <w:p w:rsidR="001D71AD" w:rsidRPr="006338D5" w:rsidRDefault="001D71AD" w:rsidP="00196CDC">
      <w:pPr>
        <w:ind w:left="1890" w:right="720"/>
        <w:jc w:val="both"/>
        <w:rPr>
          <w:lang w:val="fr-FR"/>
        </w:rPr>
      </w:pPr>
    </w:p>
    <w:p w:rsidR="001D71AD" w:rsidRPr="00BD2FA9" w:rsidRDefault="001D71AD" w:rsidP="00BB13A1">
      <w:pPr>
        <w:numPr>
          <w:ilvl w:val="0"/>
          <w:numId w:val="4"/>
        </w:numPr>
        <w:ind w:left="1080" w:right="720" w:firstLine="0"/>
        <w:jc w:val="both"/>
        <w:rPr>
          <w:lang w:val="fr-FR"/>
        </w:rPr>
      </w:pPr>
      <w:r w:rsidRPr="00196CDC">
        <w:rPr>
          <w:lang w:val="fr-FR"/>
        </w:rPr>
        <w:t>Traditionnellement, les prises de décision concernant l’attribution des ressources de base de l’UNFPA comportai</w:t>
      </w:r>
      <w:r>
        <w:rPr>
          <w:lang w:val="fr-FR"/>
        </w:rPr>
        <w:t>en</w:t>
      </w:r>
      <w:r w:rsidRPr="00196CDC">
        <w:rPr>
          <w:lang w:val="fr-FR"/>
        </w:rPr>
        <w:t xml:space="preserve">t des processus distincts pour le Budget institutionnel, les programmes mondiaux et régionaux et le système d’attribution des ressources </w:t>
      </w:r>
      <w:r>
        <w:rPr>
          <w:lang w:val="fr-FR"/>
        </w:rPr>
        <w:t xml:space="preserve">bien que des progrès aient été réalisés pour réunir ces derniers dans l’élaboration du budget intégré </w:t>
      </w:r>
      <w:r w:rsidRPr="00196CDC">
        <w:rPr>
          <w:lang w:val="fr-FR"/>
        </w:rPr>
        <w:t xml:space="preserve">2014-2017. </w:t>
      </w:r>
      <w:r w:rsidRPr="00B1413D">
        <w:rPr>
          <w:lang w:val="fr-FR"/>
        </w:rPr>
        <w:t xml:space="preserve">Les décisions concernant l’attribution des fonds thématiques d’affectation spéciaux et des ressources autres que les ressources de base sont essentiellement prises </w:t>
      </w:r>
      <w:r>
        <w:rPr>
          <w:lang w:val="fr-FR"/>
        </w:rPr>
        <w:t xml:space="preserve">à travers les </w:t>
      </w:r>
      <w:r>
        <w:rPr>
          <w:lang w:val="fr-FR"/>
        </w:rPr>
        <w:lastRenderedPageBreak/>
        <w:t xml:space="preserve">nombreux accords avec les donateurs, tous différents les uns des autres, qui ne sont pas toujours coordonnés les uns avec les autres ou avec l’attribution des ressources de base. </w:t>
      </w:r>
    </w:p>
    <w:p w:rsidR="001D71AD" w:rsidRPr="00BD2FA9" w:rsidRDefault="001D71AD" w:rsidP="00CE04D5">
      <w:pPr>
        <w:ind w:left="1080" w:right="720"/>
        <w:jc w:val="both"/>
        <w:rPr>
          <w:lang w:val="fr-FR"/>
        </w:rPr>
      </w:pPr>
    </w:p>
    <w:p w:rsidR="001D71AD" w:rsidRPr="00307FC1" w:rsidRDefault="001D71AD" w:rsidP="00BB13A1">
      <w:pPr>
        <w:numPr>
          <w:ilvl w:val="0"/>
          <w:numId w:val="4"/>
        </w:numPr>
        <w:ind w:left="1080" w:right="720" w:firstLine="0"/>
        <w:jc w:val="both"/>
        <w:rPr>
          <w:lang w:val="fr-FR"/>
        </w:rPr>
      </w:pPr>
      <w:r w:rsidRPr="00BD2FA9">
        <w:rPr>
          <w:lang w:val="fr-FR"/>
        </w:rPr>
        <w:t xml:space="preserve">Ainsi, en raison du cloisonnement de la prise de </w:t>
      </w:r>
      <w:r>
        <w:rPr>
          <w:lang w:val="fr-FR"/>
        </w:rPr>
        <w:t>dé</w:t>
      </w:r>
      <w:r w:rsidRPr="00BD2FA9">
        <w:rPr>
          <w:lang w:val="fr-FR"/>
        </w:rPr>
        <w:t xml:space="preserve">cision concernant les ressources, chacun de ces mécanismes </w:t>
      </w:r>
      <w:r>
        <w:rPr>
          <w:lang w:val="fr-FR"/>
        </w:rPr>
        <w:t xml:space="preserve">est actuellement régi par </w:t>
      </w:r>
      <w:r w:rsidRPr="00BD2FA9">
        <w:rPr>
          <w:lang w:val="fr-FR"/>
        </w:rPr>
        <w:t>une structure de gouvernance distincte, un ensemble de crit</w:t>
      </w:r>
      <w:r>
        <w:rPr>
          <w:lang w:val="fr-FR"/>
        </w:rPr>
        <w:t xml:space="preserve">ères d’attribution distinct, un responsable de processus interne distinct et un processus de préparation et de suivi de budget distinct. </w:t>
      </w:r>
    </w:p>
    <w:p w:rsidR="001D71AD" w:rsidRPr="00307FC1" w:rsidRDefault="001D71AD" w:rsidP="00CE04D5">
      <w:pPr>
        <w:ind w:left="1080" w:right="720"/>
        <w:jc w:val="both"/>
        <w:rPr>
          <w:lang w:val="fr-FR"/>
        </w:rPr>
      </w:pPr>
    </w:p>
    <w:p w:rsidR="001D71AD" w:rsidRPr="00307FC1" w:rsidRDefault="001D71AD" w:rsidP="00BB13A1">
      <w:pPr>
        <w:numPr>
          <w:ilvl w:val="0"/>
          <w:numId w:val="4"/>
        </w:numPr>
        <w:ind w:left="1080" w:right="720" w:firstLine="0"/>
        <w:jc w:val="both"/>
        <w:rPr>
          <w:lang w:val="fr-FR"/>
        </w:rPr>
      </w:pPr>
      <w:r w:rsidRPr="003E21BD">
        <w:rPr>
          <w:lang w:val="fr-FR"/>
        </w:rPr>
        <w:t xml:space="preserve">Cette fragmentation </w:t>
      </w:r>
      <w:r>
        <w:rPr>
          <w:lang w:val="fr-FR"/>
        </w:rPr>
        <w:t xml:space="preserve">n’est pas sans </w:t>
      </w:r>
      <w:r w:rsidRPr="003E21BD">
        <w:rPr>
          <w:lang w:val="fr-FR"/>
        </w:rPr>
        <w:t>cons</w:t>
      </w:r>
      <w:r>
        <w:rPr>
          <w:lang w:val="fr-FR"/>
        </w:rPr>
        <w:t xml:space="preserve">équences. Surtout, des cadres de budgétisation distincts pour différents types de ressources de base et d’autres ressources interdisent une attribution globale cohérente de ressources à des priorités stratégiques. </w:t>
      </w:r>
      <w:r w:rsidRPr="00F446E6">
        <w:rPr>
          <w:lang w:val="fr-FR"/>
        </w:rPr>
        <w:t>Cela entrave la capacité de l’organisation de faire un usage optimal de la totalit</w:t>
      </w:r>
      <w:r>
        <w:rPr>
          <w:lang w:val="fr-FR"/>
        </w:rPr>
        <w:t xml:space="preserve">é de ses ressources, ce qui diminue l’impact du fonds. La fragmentation, qui rend plus difficile le suivi des résultats par rapport aux ressources, diminue ainsi la responsabilité. </w:t>
      </w:r>
      <w:r w:rsidRPr="00F446E6">
        <w:rPr>
          <w:lang w:val="fr-FR"/>
        </w:rPr>
        <w:t>Enfin, l’architecture actuelle augmente les coûts de transaction pour les bureaux de pays qui sont contraints de g</w:t>
      </w:r>
      <w:r>
        <w:rPr>
          <w:lang w:val="fr-FR"/>
        </w:rPr>
        <w:t xml:space="preserve">érer et de faire des rapports de manière cloisonnée. </w:t>
      </w:r>
    </w:p>
    <w:p w:rsidR="001D71AD" w:rsidRPr="00307FC1" w:rsidRDefault="001D71AD" w:rsidP="00CE04D5">
      <w:pPr>
        <w:ind w:left="1080" w:right="720"/>
        <w:jc w:val="both"/>
        <w:rPr>
          <w:lang w:val="fr-FR"/>
        </w:rPr>
      </w:pPr>
    </w:p>
    <w:p w:rsidR="001D71AD" w:rsidRPr="00307FC1" w:rsidRDefault="001D71AD" w:rsidP="00BB13A1">
      <w:pPr>
        <w:numPr>
          <w:ilvl w:val="0"/>
          <w:numId w:val="4"/>
        </w:numPr>
        <w:ind w:left="1080" w:right="720" w:firstLine="0"/>
        <w:jc w:val="both"/>
        <w:rPr>
          <w:lang w:val="fr-FR"/>
        </w:rPr>
      </w:pPr>
      <w:r w:rsidRPr="002F7FCF">
        <w:rPr>
          <w:lang w:val="fr-FR"/>
        </w:rPr>
        <w:t>Le budget intégré de 2014-2017 remédie à qu</w:t>
      </w:r>
      <w:r>
        <w:rPr>
          <w:lang w:val="fr-FR"/>
        </w:rPr>
        <w:t>e</w:t>
      </w:r>
      <w:r w:rsidRPr="002F7FCF">
        <w:rPr>
          <w:lang w:val="fr-FR"/>
        </w:rPr>
        <w:t>lques-uns de ces probl</w:t>
      </w:r>
      <w:r>
        <w:rPr>
          <w:lang w:val="fr-FR"/>
        </w:rPr>
        <w:t xml:space="preserve">èmes. </w:t>
      </w:r>
      <w:r w:rsidRPr="002F7FCF">
        <w:rPr>
          <w:lang w:val="fr-FR"/>
        </w:rPr>
        <w:t>Par exemple, pour la première fois, les exigences budgétaires asso</w:t>
      </w:r>
      <w:r>
        <w:rPr>
          <w:lang w:val="fr-FR"/>
        </w:rPr>
        <w:t>ciées au programme mondial et ré</w:t>
      </w:r>
      <w:r w:rsidRPr="002F7FCF">
        <w:rPr>
          <w:lang w:val="fr-FR"/>
        </w:rPr>
        <w:t>gional ont été rassemblées au même moment que celles du budget institutionnel et un effort concert</w:t>
      </w:r>
      <w:r>
        <w:rPr>
          <w:lang w:val="fr-FR"/>
        </w:rPr>
        <w:t xml:space="preserve">é a été fait de transférer leséléments non programmatiques du programme mondial et régional dans le budget institutionnel et inversement. </w:t>
      </w:r>
      <w:r w:rsidRPr="00453425">
        <w:rPr>
          <w:lang w:val="fr-FR"/>
        </w:rPr>
        <w:t xml:space="preserve">Le budget intégré ne peut cependant pas remédier à toutes les causes sous-jacentes de la fragmentation.Surtout, bien qu’il donne une foule de </w:t>
      </w:r>
      <w:r>
        <w:rPr>
          <w:lang w:val="fr-FR"/>
        </w:rPr>
        <w:t>dét</w:t>
      </w:r>
      <w:r w:rsidRPr="00453425">
        <w:rPr>
          <w:lang w:val="fr-FR"/>
        </w:rPr>
        <w:t xml:space="preserve">ails sur les ressources de base, la nature imprévisible des autres ressources qui reflète généralement un engagement à plus court terme des donateurs, </w:t>
      </w:r>
      <w:r>
        <w:rPr>
          <w:lang w:val="fr-FR"/>
        </w:rPr>
        <w:t xml:space="preserve">donc plus instable, signifie que le budget intégré ne peut pas contenir autant d’information sur les autres ressources. </w:t>
      </w:r>
      <w:r w:rsidRPr="00DC3C56">
        <w:rPr>
          <w:lang w:val="fr-FR"/>
        </w:rPr>
        <w:t xml:space="preserve">De plus, les mécanismes de gouvernance des autres ressources restent distincts de ceux des ressources de base. </w:t>
      </w:r>
    </w:p>
    <w:p w:rsidR="001D71AD" w:rsidRPr="00307FC1" w:rsidRDefault="001D71AD" w:rsidP="004E40DA">
      <w:pPr>
        <w:ind w:left="1080" w:right="720"/>
        <w:jc w:val="both"/>
        <w:rPr>
          <w:lang w:val="fr-FR"/>
        </w:rPr>
      </w:pPr>
    </w:p>
    <w:p w:rsidR="001D71AD" w:rsidRPr="00E00E32" w:rsidRDefault="001D71AD" w:rsidP="00BB13A1">
      <w:pPr>
        <w:numPr>
          <w:ilvl w:val="0"/>
          <w:numId w:val="4"/>
        </w:numPr>
        <w:ind w:left="1080" w:right="720" w:firstLine="0"/>
        <w:jc w:val="both"/>
        <w:rPr>
          <w:lang w:val="fr-FR"/>
        </w:rPr>
      </w:pPr>
      <w:r>
        <w:rPr>
          <w:lang w:val="fr-FR"/>
        </w:rPr>
        <w:t>Autre mesure p</w:t>
      </w:r>
      <w:r w:rsidRPr="00A46952">
        <w:rPr>
          <w:lang w:val="fr-FR"/>
        </w:rPr>
        <w:t>our surmonter l’obstacle de la fragmentation</w:t>
      </w:r>
      <w:r>
        <w:rPr>
          <w:lang w:val="fr-FR"/>
        </w:rPr>
        <w:t> :</w:t>
      </w:r>
      <w:r w:rsidRPr="00A46952">
        <w:rPr>
          <w:lang w:val="fr-FR"/>
        </w:rPr>
        <w:t xml:space="preserve"> l’UNFPA s’apprête à adopter une architecture de financement plus unifiée. </w:t>
      </w:r>
      <w:r w:rsidRPr="004102C1">
        <w:rPr>
          <w:lang w:val="fr-FR"/>
        </w:rPr>
        <w:t xml:space="preserve">Si cela semble simple en théorie, </w:t>
      </w:r>
      <w:r>
        <w:rPr>
          <w:lang w:val="fr-FR"/>
        </w:rPr>
        <w:t xml:space="preserve">le </w:t>
      </w:r>
      <w:r w:rsidRPr="004102C1">
        <w:rPr>
          <w:lang w:val="fr-FR"/>
        </w:rPr>
        <w:t>grand nombre de complexit</w:t>
      </w:r>
      <w:r>
        <w:rPr>
          <w:lang w:val="fr-FR"/>
        </w:rPr>
        <w:t xml:space="preserve">és qui subsistent sur les plans des opérations et de la gouvernance nécessitent des solutions progressives de manière à ne pas perturber les programmes existants. </w:t>
      </w:r>
      <w:r w:rsidRPr="00E00E32">
        <w:rPr>
          <w:lang w:val="fr-FR"/>
        </w:rPr>
        <w:t xml:space="preserve">Certains aspects peuvent être résolus à court terme, en introduisant par exemple des critères plus cohérents qui peuvent servir pour toutes les filières de financement et en unifiant la gestion des </w:t>
      </w:r>
      <w:r>
        <w:rPr>
          <w:lang w:val="fr-FR"/>
        </w:rPr>
        <w:t xml:space="preserve">fonds thématiques. </w:t>
      </w:r>
    </w:p>
    <w:p w:rsidR="001D71AD" w:rsidRPr="00E00E32" w:rsidRDefault="001D71AD" w:rsidP="004E40DA">
      <w:pPr>
        <w:ind w:left="1080" w:right="720"/>
        <w:jc w:val="both"/>
        <w:rPr>
          <w:lang w:val="fr-FR"/>
        </w:rPr>
      </w:pPr>
    </w:p>
    <w:p w:rsidR="001D71AD" w:rsidRPr="00307FC1" w:rsidRDefault="001D71AD" w:rsidP="00BB13A1">
      <w:pPr>
        <w:numPr>
          <w:ilvl w:val="0"/>
          <w:numId w:val="4"/>
        </w:numPr>
        <w:ind w:left="1080" w:right="720" w:firstLine="0"/>
        <w:jc w:val="both"/>
        <w:rPr>
          <w:lang w:val="fr-FR"/>
        </w:rPr>
      </w:pPr>
      <w:r w:rsidRPr="00E00E32">
        <w:rPr>
          <w:lang w:val="fr-FR"/>
        </w:rPr>
        <w:t xml:space="preserve">Toute modification plus fondamentale ne serait cependant appliquée que progressivement pendant la durée du prochain plan stratégique de 2014-2017, car il faudra du temps pour </w:t>
      </w:r>
      <w:r>
        <w:rPr>
          <w:lang w:val="fr-FR"/>
        </w:rPr>
        <w:t>élaborer et mettre en œuvre un système de prise de décisions plus uniforme qui optimisera les ressources à travers l’institution, indépendamment de la source de financement.</w:t>
      </w:r>
      <w:r w:rsidRPr="00DD24C9">
        <w:rPr>
          <w:lang w:val="fr-FR"/>
        </w:rPr>
        <w:t xml:space="preserve">Toute modification nécessitant l’accord du comité exécutif serait présentée lors de l’examen à mi-parcours du plan stratégique et le conseil </w:t>
      </w:r>
      <w:r>
        <w:rPr>
          <w:lang w:val="fr-FR"/>
        </w:rPr>
        <w:t>d’administration participerait de manière régulière à l’</w:t>
      </w:r>
      <w:r w:rsidRPr="00DD24C9">
        <w:rPr>
          <w:lang w:val="fr-FR"/>
        </w:rPr>
        <w:t>élabor</w:t>
      </w:r>
      <w:r>
        <w:rPr>
          <w:lang w:val="fr-FR"/>
        </w:rPr>
        <w:t xml:space="preserve">ation des </w:t>
      </w:r>
      <w:r w:rsidRPr="00DD24C9">
        <w:rPr>
          <w:lang w:val="fr-FR"/>
        </w:rPr>
        <w:t xml:space="preserve">modifications en question. </w:t>
      </w:r>
    </w:p>
    <w:p w:rsidR="001D71AD" w:rsidRPr="00307FC1" w:rsidRDefault="001D71AD" w:rsidP="00F84D3B">
      <w:pPr>
        <w:pStyle w:val="ListParagraph"/>
        <w:rPr>
          <w:lang w:val="fr-FR"/>
        </w:rPr>
      </w:pPr>
    </w:p>
    <w:p w:rsidR="001D71AD" w:rsidRPr="00307FC1" w:rsidRDefault="001D71AD" w:rsidP="00F84D3B">
      <w:pPr>
        <w:pStyle w:val="ListParagraph"/>
        <w:rPr>
          <w:lang w:val="fr-FR"/>
        </w:rPr>
      </w:pPr>
    </w:p>
    <w:p w:rsidR="001D71AD" w:rsidRPr="00E15FBD" w:rsidRDefault="001D71AD" w:rsidP="00BB13A1">
      <w:pPr>
        <w:pStyle w:val="Heading1"/>
        <w:numPr>
          <w:ilvl w:val="0"/>
          <w:numId w:val="5"/>
        </w:numPr>
        <w:rPr>
          <w:lang w:val="fr-FR"/>
        </w:rPr>
      </w:pPr>
      <w:bookmarkStart w:id="3" w:name="_Toc363918443"/>
      <w:r w:rsidRPr="00E15FBD">
        <w:rPr>
          <w:lang w:val="fr-FR"/>
        </w:rPr>
        <w:t>Le financement des interve</w:t>
      </w:r>
      <w:r>
        <w:rPr>
          <w:lang w:val="fr-FR"/>
        </w:rPr>
        <w:t>ntions aux niveaux mondial et ré</w:t>
      </w:r>
      <w:r w:rsidRPr="00E15FBD">
        <w:rPr>
          <w:lang w:val="fr-FR"/>
        </w:rPr>
        <w:t>gional</w:t>
      </w:r>
      <w:bookmarkEnd w:id="3"/>
    </w:p>
    <w:p w:rsidR="001D71AD" w:rsidRPr="00E15FBD" w:rsidRDefault="001D71AD" w:rsidP="00860953">
      <w:pPr>
        <w:ind w:left="1080" w:right="720"/>
        <w:jc w:val="both"/>
        <w:rPr>
          <w:lang w:val="fr-FR"/>
        </w:rPr>
      </w:pPr>
    </w:p>
    <w:p w:rsidR="001D71AD" w:rsidRPr="0061614E" w:rsidRDefault="001D71AD" w:rsidP="0061614E">
      <w:pPr>
        <w:pStyle w:val="Heading2"/>
      </w:pPr>
      <w:bookmarkStart w:id="4" w:name="_Toc363918444"/>
      <w:r w:rsidRPr="0061614E">
        <w:t>Introduction</w:t>
      </w:r>
      <w:bookmarkEnd w:id="4"/>
    </w:p>
    <w:p w:rsidR="001D71AD" w:rsidRDefault="001D71AD" w:rsidP="0061614E">
      <w:pPr>
        <w:ind w:left="1080" w:right="720"/>
        <w:jc w:val="both"/>
      </w:pPr>
    </w:p>
    <w:p w:rsidR="001D71AD" w:rsidRPr="00307FC1" w:rsidRDefault="001D71AD" w:rsidP="00BB13A1">
      <w:pPr>
        <w:numPr>
          <w:ilvl w:val="0"/>
          <w:numId w:val="4"/>
        </w:numPr>
        <w:ind w:left="1080" w:right="720" w:firstLine="0"/>
        <w:jc w:val="both"/>
        <w:rPr>
          <w:lang w:val="fr-FR"/>
        </w:rPr>
      </w:pPr>
      <w:r w:rsidRPr="0029718F">
        <w:rPr>
          <w:lang w:val="fr-FR"/>
        </w:rPr>
        <w:t xml:space="preserve">En 2007, le Programme mondial et régional de l’UNFPA (PMR) pour la période de 2008-2011, défini dans le document DP/FPA/2007/19, a été approuvé par le comité exécutif lors de </w:t>
      </w:r>
      <w:r w:rsidRPr="0029718F">
        <w:rPr>
          <w:lang w:val="fr-FR"/>
        </w:rPr>
        <w:lastRenderedPageBreak/>
        <w:t xml:space="preserve">sa deuxième session régulière en 2007. Un audit de gestion du PMR couvrant la période de 2008-2011 a récemment soulevé un certain nombre de problèmes qui avaient été précédemment détectés par l’administration de l’UNFPA et résolus suite à l’examen à mi-parcours du plan stratégique actuel. L’UNFPA s’est depuis appuyé sur ces réformes pour préparer le Plan stratégique et le budget intégré pour 2014-2017 et renforcer le cadre d’attribution de ressources de base aux interventions mondiales et régionales à l’avenir.  Les résultats sont présentés dans cette section qui exprime à la fois le besoin d’interventions mondiales et régionales et décrit les types d’activités spécifiques qui seront financées de manière optimale par les ressources régulières de l’UNFPA pendant la période 2014-2017. La section décrit plus en détail les mécanismes robustes et transparents par lesquels l’UNFPA gérera et régira effectivement les ressources qu’il attribuera aux interventions mondiales et régionales ainsi que les mécanismes de contrôle qu’il a mis en place en vue de maximiser leur </w:t>
      </w:r>
      <w:r>
        <w:rPr>
          <w:lang w:val="fr-FR"/>
        </w:rPr>
        <w:t>impact</w:t>
      </w:r>
      <w:r w:rsidRPr="0029718F">
        <w:rPr>
          <w:lang w:val="fr-FR"/>
        </w:rPr>
        <w:t xml:space="preserve"> possible. Bien que les fonds thématiques d’affectation spéciaux financent aussi les </w:t>
      </w:r>
      <w:r>
        <w:rPr>
          <w:lang w:val="fr-FR"/>
        </w:rPr>
        <w:t>« </w:t>
      </w:r>
      <w:r w:rsidRPr="0029718F">
        <w:rPr>
          <w:lang w:val="fr-FR"/>
        </w:rPr>
        <w:t>interventions mondiales et régionales</w:t>
      </w:r>
      <w:r>
        <w:rPr>
          <w:lang w:val="fr-FR"/>
        </w:rPr>
        <w:t> »</w:t>
      </w:r>
      <w:r w:rsidRPr="0029718F">
        <w:rPr>
          <w:lang w:val="fr-FR"/>
        </w:rPr>
        <w:t xml:space="preserve">, ce document ne traitera pas de ces initiatives mais se cantonnera aux interventions mondiales et régionales financées par les ressources générales. </w:t>
      </w:r>
    </w:p>
    <w:p w:rsidR="001D71AD" w:rsidRPr="00307FC1" w:rsidRDefault="001D71AD" w:rsidP="0029718F">
      <w:pPr>
        <w:ind w:left="1080" w:right="720"/>
        <w:jc w:val="both"/>
        <w:rPr>
          <w:lang w:val="fr-FR"/>
        </w:rPr>
      </w:pPr>
    </w:p>
    <w:p w:rsidR="001D71AD" w:rsidRPr="00AB4543" w:rsidRDefault="001D71AD" w:rsidP="00BB13A1">
      <w:pPr>
        <w:numPr>
          <w:ilvl w:val="0"/>
          <w:numId w:val="4"/>
        </w:numPr>
        <w:ind w:left="1080" w:right="720" w:firstLine="0"/>
        <w:jc w:val="both"/>
        <w:rPr>
          <w:lang w:val="fr-FR"/>
        </w:rPr>
      </w:pPr>
      <w:r w:rsidRPr="00A35047">
        <w:rPr>
          <w:lang w:val="fr-FR"/>
        </w:rPr>
        <w:t xml:space="preserve">l’UNFPA </w:t>
      </w:r>
      <w:r>
        <w:rPr>
          <w:lang w:val="fr-FR"/>
        </w:rPr>
        <w:t>avait pris conscience, d</w:t>
      </w:r>
      <w:r w:rsidRPr="00A35047">
        <w:rPr>
          <w:lang w:val="fr-FR"/>
        </w:rPr>
        <w:t>epuis 2009</w:t>
      </w:r>
      <w:r>
        <w:rPr>
          <w:lang w:val="fr-FR"/>
        </w:rPr>
        <w:t>,</w:t>
      </w:r>
      <w:r w:rsidRPr="00A35047">
        <w:rPr>
          <w:lang w:val="fr-FR"/>
        </w:rPr>
        <w:t>de nombreux problèmes importants signal</w:t>
      </w:r>
      <w:r>
        <w:rPr>
          <w:lang w:val="fr-FR"/>
        </w:rPr>
        <w:t>é</w:t>
      </w:r>
      <w:r w:rsidRPr="00A35047">
        <w:rPr>
          <w:lang w:val="fr-FR"/>
        </w:rPr>
        <w:t xml:space="preserve">s dans l’audit de gestion comme (a) </w:t>
      </w:r>
      <w:r>
        <w:rPr>
          <w:lang w:val="fr-FR"/>
        </w:rPr>
        <w:t xml:space="preserve">des préoccupations concernant </w:t>
      </w:r>
      <w:r w:rsidRPr="00A35047">
        <w:rPr>
          <w:lang w:val="fr-FR"/>
        </w:rPr>
        <w:t xml:space="preserve">la gestion et le contrôle du PMR, (b) </w:t>
      </w:r>
      <w:r>
        <w:rPr>
          <w:lang w:val="fr-FR"/>
        </w:rPr>
        <w:t xml:space="preserve">la </w:t>
      </w:r>
      <w:r w:rsidRPr="00A35047">
        <w:rPr>
          <w:lang w:val="fr-FR"/>
        </w:rPr>
        <w:t>dotation</w:t>
      </w:r>
      <w:r>
        <w:rPr>
          <w:lang w:val="fr-FR"/>
        </w:rPr>
        <w:t xml:space="preserve">excessive </w:t>
      </w:r>
      <w:r w:rsidRPr="00A35047">
        <w:rPr>
          <w:lang w:val="fr-FR"/>
        </w:rPr>
        <w:t xml:space="preserve">du PMR au total, mais de la partie </w:t>
      </w:r>
      <w:r>
        <w:rPr>
          <w:lang w:val="fr-FR"/>
        </w:rPr>
        <w:t>« </w:t>
      </w:r>
      <w:r w:rsidRPr="00A35047">
        <w:rPr>
          <w:lang w:val="fr-FR"/>
        </w:rPr>
        <w:t>mondiale</w:t>
      </w:r>
      <w:r>
        <w:rPr>
          <w:lang w:val="fr-FR"/>
        </w:rPr>
        <w:t> »</w:t>
      </w:r>
      <w:r w:rsidRPr="00A35047">
        <w:rPr>
          <w:lang w:val="fr-FR"/>
        </w:rPr>
        <w:t xml:space="preserve"> en particulier, (c) </w:t>
      </w:r>
      <w:r>
        <w:rPr>
          <w:lang w:val="fr-FR"/>
        </w:rPr>
        <w:t xml:space="preserve">le </w:t>
      </w:r>
      <w:r w:rsidRPr="00A35047">
        <w:rPr>
          <w:lang w:val="fr-FR"/>
        </w:rPr>
        <w:t xml:space="preserve">suivi insuffisant de </w:t>
      </w:r>
      <w:r>
        <w:rPr>
          <w:lang w:val="fr-FR"/>
        </w:rPr>
        <w:t>« </w:t>
      </w:r>
      <w:r w:rsidRPr="00A35047">
        <w:rPr>
          <w:lang w:val="fr-FR"/>
        </w:rPr>
        <w:t>l’Évaluation du programme inter-pays</w:t>
      </w:r>
      <w:r>
        <w:rPr>
          <w:lang w:val="fr-FR"/>
        </w:rPr>
        <w:t xml:space="preserve"> » </w:t>
      </w:r>
      <w:r w:rsidRPr="00A35047">
        <w:rPr>
          <w:lang w:val="fr-FR"/>
        </w:rPr>
        <w:t xml:space="preserve">de 2007 et du </w:t>
      </w:r>
      <w:r>
        <w:rPr>
          <w:lang w:val="fr-FR"/>
        </w:rPr>
        <w:t>« Rapport d’audit des projets régionaux à l’UNFPA »</w:t>
      </w:r>
      <w:r w:rsidRPr="00A35047">
        <w:rPr>
          <w:lang w:val="fr-FR"/>
        </w:rPr>
        <w:t xml:space="preserve">, (d) </w:t>
      </w:r>
      <w:r>
        <w:rPr>
          <w:lang w:val="fr-FR"/>
        </w:rPr>
        <w:t>les faiblesses de la gestion axée sur les résultats</w:t>
      </w:r>
      <w:r w:rsidRPr="00A35047">
        <w:rPr>
          <w:lang w:val="fr-FR"/>
        </w:rPr>
        <w:t xml:space="preserve">, </w:t>
      </w:r>
      <w:r>
        <w:rPr>
          <w:lang w:val="fr-FR"/>
        </w:rPr>
        <w:t xml:space="preserve">et </w:t>
      </w:r>
      <w:r w:rsidRPr="00A35047">
        <w:rPr>
          <w:lang w:val="fr-FR"/>
        </w:rPr>
        <w:t>(e)</w:t>
      </w:r>
      <w:r>
        <w:rPr>
          <w:lang w:val="fr-FR"/>
        </w:rPr>
        <w:t>les domaines à améliorer dans les efforts de renforcement des capacités du PMR</w:t>
      </w:r>
      <w:r w:rsidRPr="00A35047">
        <w:rPr>
          <w:lang w:val="fr-FR"/>
        </w:rPr>
        <w:t xml:space="preserve">. </w:t>
      </w:r>
      <w:r w:rsidRPr="00AB4543">
        <w:rPr>
          <w:lang w:val="fr-FR"/>
        </w:rPr>
        <w:t>Plusieurs de ces problèmes ont depuis été résolus</w:t>
      </w:r>
      <w:r>
        <w:rPr>
          <w:lang w:val="fr-FR"/>
        </w:rPr>
        <w:t>,</w:t>
      </w:r>
      <w:r w:rsidRPr="00AB4543">
        <w:rPr>
          <w:lang w:val="fr-FR"/>
        </w:rPr>
        <w:t xml:space="preserve"> certains avant l’audit de gestion</w:t>
      </w:r>
      <w:r>
        <w:rPr>
          <w:lang w:val="fr-FR"/>
        </w:rPr>
        <w:t>,</w:t>
      </w:r>
      <w:r w:rsidRPr="00AB4543">
        <w:rPr>
          <w:lang w:val="fr-FR"/>
        </w:rPr>
        <w:t xml:space="preserve"> par diverses initiatives comme un processus et des critères d’attribution aux PMR révisés depuis 2011, mettant l’accent sur des pratiques de PMR améliorées et le r</w:t>
      </w:r>
      <w:r>
        <w:rPr>
          <w:lang w:val="fr-FR"/>
        </w:rPr>
        <w:t>établissement des indicateurs budgétaires clés dans le processus de prise de décision, un remaniement du cadre de politique de programme respectif et des options de formation aux PMR améliorées pour les responsables de PMR.</w:t>
      </w:r>
    </w:p>
    <w:p w:rsidR="001D71AD" w:rsidRPr="00AB4543" w:rsidRDefault="001D71AD" w:rsidP="00396E02">
      <w:pPr>
        <w:ind w:left="1080" w:right="720"/>
        <w:jc w:val="both"/>
        <w:rPr>
          <w:lang w:val="fr-FR"/>
        </w:rPr>
      </w:pPr>
    </w:p>
    <w:p w:rsidR="001D71AD" w:rsidRPr="00B238B0" w:rsidRDefault="001D71AD" w:rsidP="00BB13A1">
      <w:pPr>
        <w:numPr>
          <w:ilvl w:val="0"/>
          <w:numId w:val="4"/>
        </w:numPr>
        <w:ind w:left="1080" w:right="720" w:firstLine="0"/>
        <w:jc w:val="both"/>
        <w:rPr>
          <w:lang w:val="fr-FR"/>
        </w:rPr>
      </w:pPr>
      <w:r w:rsidRPr="00702426">
        <w:rPr>
          <w:lang w:val="fr-FR"/>
        </w:rPr>
        <w:t>L’organisation institutio</w:t>
      </w:r>
      <w:r>
        <w:rPr>
          <w:lang w:val="fr-FR"/>
        </w:rPr>
        <w:t>n</w:t>
      </w:r>
      <w:r w:rsidRPr="00702426">
        <w:rPr>
          <w:lang w:val="fr-FR"/>
        </w:rPr>
        <w:t>nalisera et consolidera les réformes d</w:t>
      </w:r>
      <w:r>
        <w:rPr>
          <w:lang w:val="fr-FR"/>
        </w:rPr>
        <w:t>u</w:t>
      </w:r>
      <w:r w:rsidRPr="00702426">
        <w:rPr>
          <w:lang w:val="fr-FR"/>
        </w:rPr>
        <w:t xml:space="preserve"> PMR </w:t>
      </w:r>
      <w:r>
        <w:rPr>
          <w:lang w:val="fr-FR"/>
        </w:rPr>
        <w:t>instituées</w:t>
      </w:r>
      <w:r w:rsidRPr="00702426">
        <w:rPr>
          <w:lang w:val="fr-FR"/>
        </w:rPr>
        <w:t xml:space="preserve"> en 2011 dans le cadre du plan strat</w:t>
      </w:r>
      <w:r>
        <w:rPr>
          <w:lang w:val="fr-FR"/>
        </w:rPr>
        <w:t xml:space="preserve">égique et du Budget intégré de </w:t>
      </w:r>
      <w:r w:rsidRPr="00702426">
        <w:rPr>
          <w:lang w:val="fr-FR"/>
        </w:rPr>
        <w:t>2014-2017</w:t>
      </w:r>
      <w:r>
        <w:rPr>
          <w:lang w:val="fr-FR"/>
        </w:rPr>
        <w:t xml:space="preserve">. </w:t>
      </w:r>
      <w:r w:rsidRPr="00702426">
        <w:rPr>
          <w:lang w:val="fr-FR"/>
        </w:rPr>
        <w:t xml:space="preserve">Plus précisément, cela signifie </w:t>
      </w:r>
      <w:r>
        <w:rPr>
          <w:lang w:val="fr-FR"/>
        </w:rPr>
        <w:t>amé</w:t>
      </w:r>
      <w:r w:rsidRPr="00702426">
        <w:rPr>
          <w:lang w:val="fr-FR"/>
        </w:rPr>
        <w:t>lioration de la transparence du mécanisme des interventions mondiales et régionales dans l’ensemble, des processus d’attribution des ressources plus robustes, plus de transparence, des m</w:t>
      </w:r>
      <w:r>
        <w:rPr>
          <w:lang w:val="fr-FR"/>
        </w:rPr>
        <w:t xml:space="preserve">écanismes de contrôle renforcés et un système assurant une conformité constante avec les paramètres établis. </w:t>
      </w:r>
      <w:r w:rsidRPr="00B238B0">
        <w:rPr>
          <w:lang w:val="fr-FR"/>
        </w:rPr>
        <w:t xml:space="preserve">Tout cela garantira que </w:t>
      </w:r>
      <w:r>
        <w:rPr>
          <w:lang w:val="fr-FR"/>
        </w:rPr>
        <w:t>les problèmes identifié</w:t>
      </w:r>
      <w:r w:rsidRPr="00B238B0">
        <w:rPr>
          <w:lang w:val="fr-FR"/>
        </w:rPr>
        <w:t xml:space="preserve">s pendant le PMR de 2008-20011 ne se reproduiront pas </w:t>
      </w:r>
      <w:r>
        <w:rPr>
          <w:lang w:val="fr-FR"/>
        </w:rPr>
        <w:t>à l’avenir.</w:t>
      </w:r>
      <w:r w:rsidRPr="00B238B0">
        <w:rPr>
          <w:lang w:val="fr-FR"/>
        </w:rPr>
        <w:t xml:space="preserve">Cela fera également partie d’une mise en œuvre à plus long terme de la vision de l’UNFPA d’une architecture de financement unifiée qui réalisera totalement le </w:t>
      </w:r>
      <w:r>
        <w:rPr>
          <w:lang w:val="fr-FR"/>
        </w:rPr>
        <w:t>potentie</w:t>
      </w:r>
      <w:r w:rsidRPr="00B238B0">
        <w:rPr>
          <w:lang w:val="fr-FR"/>
        </w:rPr>
        <w:t xml:space="preserve">l de ses </w:t>
      </w:r>
      <w:r>
        <w:rPr>
          <w:lang w:val="fr-FR"/>
        </w:rPr>
        <w:t xml:space="preserve">modalités </w:t>
      </w:r>
      <w:r w:rsidRPr="00B238B0">
        <w:rPr>
          <w:lang w:val="fr-FR"/>
        </w:rPr>
        <w:t>de financement d</w:t>
      </w:r>
      <w:r>
        <w:rPr>
          <w:lang w:val="fr-FR"/>
        </w:rPr>
        <w:t xml:space="preserve">’ici à 2017. </w:t>
      </w:r>
    </w:p>
    <w:p w:rsidR="001D71AD" w:rsidRPr="00B238B0" w:rsidRDefault="001D71AD" w:rsidP="0061614E">
      <w:pPr>
        <w:ind w:left="1080" w:right="720"/>
        <w:jc w:val="both"/>
        <w:rPr>
          <w:lang w:val="fr-FR"/>
        </w:rPr>
      </w:pPr>
    </w:p>
    <w:p w:rsidR="001D71AD" w:rsidRPr="0064045D" w:rsidRDefault="001D71AD" w:rsidP="0061614E">
      <w:pPr>
        <w:pStyle w:val="Heading2"/>
        <w:rPr>
          <w:lang w:val="fr-CA"/>
        </w:rPr>
      </w:pPr>
      <w:bookmarkStart w:id="5" w:name="_Toc363918445"/>
      <w:r w:rsidRPr="0064045D">
        <w:rPr>
          <w:lang w:val="fr-CA"/>
        </w:rPr>
        <w:t>Interventions mondiales et régionales</w:t>
      </w:r>
      <w:bookmarkEnd w:id="5"/>
    </w:p>
    <w:p w:rsidR="001D71AD" w:rsidRPr="0064045D" w:rsidRDefault="001D71AD" w:rsidP="0061614E">
      <w:pPr>
        <w:pStyle w:val="Heading3"/>
        <w:numPr>
          <w:ilvl w:val="0"/>
          <w:numId w:val="0"/>
        </w:numPr>
        <w:ind w:left="1440"/>
        <w:rPr>
          <w:lang w:val="fr-CA"/>
        </w:rPr>
      </w:pPr>
    </w:p>
    <w:p w:rsidR="001D71AD" w:rsidRPr="0061614E" w:rsidRDefault="001D71AD" w:rsidP="0061614E">
      <w:pPr>
        <w:pStyle w:val="Heading3"/>
      </w:pPr>
      <w:r w:rsidRPr="003D4C4C">
        <w:rPr>
          <w:lang w:val="fr-FR"/>
        </w:rPr>
        <w:t xml:space="preserve">Objectif des interventions mondiales et régionales </w:t>
      </w:r>
    </w:p>
    <w:p w:rsidR="001D71AD" w:rsidRPr="003D4C4C" w:rsidRDefault="001D71AD" w:rsidP="0061614E">
      <w:pPr>
        <w:ind w:left="1080" w:right="720"/>
        <w:jc w:val="both"/>
        <w:rPr>
          <w:lang w:val="fr-FR"/>
        </w:rPr>
      </w:pPr>
    </w:p>
    <w:p w:rsidR="001D71AD" w:rsidRPr="00383BF7" w:rsidRDefault="001D71AD" w:rsidP="00BB13A1">
      <w:pPr>
        <w:numPr>
          <w:ilvl w:val="0"/>
          <w:numId w:val="4"/>
        </w:numPr>
        <w:ind w:left="1080" w:right="720" w:firstLine="0"/>
        <w:jc w:val="both"/>
        <w:rPr>
          <w:lang w:val="fr-FR"/>
        </w:rPr>
      </w:pPr>
      <w:r w:rsidRPr="003D4C4C">
        <w:rPr>
          <w:lang w:val="fr-FR"/>
        </w:rPr>
        <w:t>Un besoin d’interventions complément</w:t>
      </w:r>
      <w:r>
        <w:rPr>
          <w:lang w:val="fr-FR"/>
        </w:rPr>
        <w:t>aires</w:t>
      </w:r>
      <w:r w:rsidRPr="003D4C4C">
        <w:rPr>
          <w:lang w:val="fr-FR"/>
        </w:rPr>
        <w:t xml:space="preserve"> des efforts réalisés par les programmes de pays semble </w:t>
      </w:r>
      <w:r>
        <w:rPr>
          <w:lang w:val="fr-FR"/>
        </w:rPr>
        <w:t xml:space="preserve">nettement </w:t>
      </w:r>
      <w:r w:rsidRPr="003D4C4C">
        <w:rPr>
          <w:lang w:val="fr-FR"/>
        </w:rPr>
        <w:t>se faire sentir tant au niveau mondial qu</w:t>
      </w:r>
      <w:r>
        <w:rPr>
          <w:lang w:val="fr-FR"/>
        </w:rPr>
        <w:t xml:space="preserve">’au niveau régional. </w:t>
      </w:r>
      <w:r w:rsidRPr="003D4C4C">
        <w:rPr>
          <w:lang w:val="fr-FR"/>
        </w:rPr>
        <w:t>Des interventions mondiales et régional</w:t>
      </w:r>
      <w:r>
        <w:rPr>
          <w:lang w:val="fr-FR"/>
        </w:rPr>
        <w:t>e</w:t>
      </w:r>
      <w:r w:rsidRPr="003D4C4C">
        <w:rPr>
          <w:lang w:val="fr-FR"/>
        </w:rPr>
        <w:t>s sont cruciales pour réaliser effectivement et efficacement le plan stratégique 2014-2017,</w:t>
      </w:r>
      <w:r>
        <w:rPr>
          <w:lang w:val="fr-FR"/>
        </w:rPr>
        <w:t xml:space="preserve">car la réalisation du programme de la CIPD au niveau du pays est fondée en grande partie sur les initiatives mondiales et régionales. </w:t>
      </w:r>
      <w:r w:rsidRPr="00116461">
        <w:rPr>
          <w:lang w:val="fr-FR"/>
        </w:rPr>
        <w:t xml:space="preserve">Les </w:t>
      </w:r>
      <w:r>
        <w:rPr>
          <w:lang w:val="fr-FR"/>
        </w:rPr>
        <w:t>p</w:t>
      </w:r>
      <w:r w:rsidRPr="00116461">
        <w:rPr>
          <w:lang w:val="fr-FR"/>
        </w:rPr>
        <w:t>rogrammes de pays sont également renforcés par le transfert du savoir</w:t>
      </w:r>
      <w:r>
        <w:rPr>
          <w:lang w:val="fr-FR"/>
        </w:rPr>
        <w:t>-</w:t>
      </w:r>
      <w:r w:rsidRPr="00116461">
        <w:rPr>
          <w:lang w:val="fr-FR"/>
        </w:rPr>
        <w:t>faire réuni et diffus</w:t>
      </w:r>
      <w:r>
        <w:rPr>
          <w:lang w:val="fr-FR"/>
        </w:rPr>
        <w:t xml:space="preserve">é au sein des régions et à travers ces dernières. </w:t>
      </w:r>
      <w:r w:rsidRPr="001C5970">
        <w:rPr>
          <w:lang w:val="fr-FR"/>
        </w:rPr>
        <w:t xml:space="preserve">En outre, </w:t>
      </w:r>
      <w:r>
        <w:rPr>
          <w:lang w:val="fr-FR"/>
        </w:rPr>
        <w:t xml:space="preserve">l’obtention et le renforcement de soutien pour les questions et les solutions de la CIPD et leur connaissance permet de réaliser </w:t>
      </w:r>
      <w:r w:rsidRPr="001C5970">
        <w:rPr>
          <w:lang w:val="fr-FR"/>
        </w:rPr>
        <w:lastRenderedPageBreak/>
        <w:t>de grandes économies de gamme et d’échelle</w:t>
      </w:r>
      <w:r>
        <w:rPr>
          <w:lang w:val="fr-FR"/>
        </w:rPr>
        <w:t xml:space="preserve">. </w:t>
      </w:r>
      <w:r w:rsidRPr="00383BF7">
        <w:rPr>
          <w:lang w:val="fr-FR"/>
        </w:rPr>
        <w:t>D’une manière tout aussi évidente, les questions de population et de d</w:t>
      </w:r>
      <w:r>
        <w:rPr>
          <w:lang w:val="fr-FR"/>
        </w:rPr>
        <w:t xml:space="preserve">éveloppement partagées par deux pays frontaliers bénéficient souvent de la collaboration transfrontalière. </w:t>
      </w:r>
    </w:p>
    <w:p w:rsidR="001D71AD" w:rsidRPr="00383BF7" w:rsidRDefault="001D71AD" w:rsidP="0061614E">
      <w:pPr>
        <w:ind w:left="1080" w:right="720"/>
        <w:jc w:val="both"/>
        <w:rPr>
          <w:rFonts w:ascii="Cambria" w:hAnsi="Cambria"/>
          <w:b/>
          <w:spacing w:val="-2"/>
          <w:lang w:val="fr-FR"/>
        </w:rPr>
      </w:pPr>
    </w:p>
    <w:p w:rsidR="001D71AD" w:rsidRPr="000845BF" w:rsidRDefault="001D71AD" w:rsidP="0061614E">
      <w:pPr>
        <w:pStyle w:val="Heading3"/>
        <w:rPr>
          <w:lang w:val="fr-CA"/>
        </w:rPr>
      </w:pPr>
      <w:r w:rsidRPr="000845BF">
        <w:rPr>
          <w:lang w:val="fr-CA"/>
        </w:rPr>
        <w:t>Exemples récents</w:t>
      </w:r>
    </w:p>
    <w:p w:rsidR="001D71AD" w:rsidRPr="000845BF" w:rsidRDefault="001D71AD" w:rsidP="0061614E">
      <w:pPr>
        <w:ind w:left="1080" w:right="720"/>
        <w:jc w:val="both"/>
        <w:rPr>
          <w:lang w:val="fr-CA"/>
        </w:rPr>
      </w:pPr>
    </w:p>
    <w:p w:rsidR="001D71AD" w:rsidRPr="008A1B77" w:rsidRDefault="001D71AD" w:rsidP="00BB13A1">
      <w:pPr>
        <w:numPr>
          <w:ilvl w:val="0"/>
          <w:numId w:val="4"/>
        </w:numPr>
        <w:ind w:left="1080" w:right="720" w:firstLine="0"/>
        <w:jc w:val="both"/>
        <w:rPr>
          <w:lang w:val="fr-FR"/>
        </w:rPr>
      </w:pPr>
      <w:r w:rsidRPr="00D34CFF">
        <w:rPr>
          <w:lang w:val="fr-FR"/>
        </w:rPr>
        <w:t xml:space="preserve">Les interventions mondiales et régionales jouent </w:t>
      </w:r>
      <w:r>
        <w:rPr>
          <w:lang w:val="fr-FR"/>
        </w:rPr>
        <w:t xml:space="preserve">depuis longtemps </w:t>
      </w:r>
      <w:r w:rsidRPr="00D34CFF">
        <w:rPr>
          <w:lang w:val="fr-FR"/>
        </w:rPr>
        <w:t xml:space="preserve">un rôle vital dans le travail de l’UNFPA qui consiste à faire progresser le programme de la conférence </w:t>
      </w:r>
      <w:r>
        <w:rPr>
          <w:lang w:val="fr-FR"/>
        </w:rPr>
        <w:t>internationale pour la population et le développement (CIPD)</w:t>
      </w:r>
      <w:r w:rsidRPr="00D34CFF">
        <w:rPr>
          <w:lang w:val="fr-FR"/>
        </w:rPr>
        <w:t xml:space="preserve">. </w:t>
      </w:r>
      <w:r w:rsidRPr="008B6F6B">
        <w:rPr>
          <w:lang w:val="fr-FR"/>
        </w:rPr>
        <w:t xml:space="preserve">Il est reconnu qu’un certain nombre d’initiatives financées par le PMR depuis 2008, notamment le rapport annuel sur l’état de la population mondiale, la Campagne pour l’élimination de la fistule et la </w:t>
      </w:r>
      <w:r>
        <w:rPr>
          <w:lang w:val="fr-FR"/>
        </w:rPr>
        <w:t>confé</w:t>
      </w:r>
      <w:r w:rsidRPr="008B6F6B">
        <w:rPr>
          <w:lang w:val="fr-FR"/>
        </w:rPr>
        <w:t>r</w:t>
      </w:r>
      <w:r>
        <w:rPr>
          <w:lang w:val="fr-FR"/>
        </w:rPr>
        <w:t>e</w:t>
      </w:r>
      <w:r w:rsidRPr="008B6F6B">
        <w:rPr>
          <w:lang w:val="fr-FR"/>
        </w:rPr>
        <w:t xml:space="preserve">nce les Femmes accouchent par exemple, </w:t>
      </w:r>
      <w:r>
        <w:rPr>
          <w:lang w:val="fr-FR"/>
        </w:rPr>
        <w:t xml:space="preserve">ont largement contribué à la connaissance de base qui soutient les efforts globaux visant à faire progresser l’agenda de la CIPD. </w:t>
      </w:r>
      <w:r w:rsidRPr="004A7EEA">
        <w:rPr>
          <w:lang w:val="fr-FR"/>
        </w:rPr>
        <w:t>Elles ont de même contribu</w:t>
      </w:r>
      <w:r>
        <w:rPr>
          <w:lang w:val="fr-FR"/>
        </w:rPr>
        <w:t>é</w:t>
      </w:r>
      <w:r w:rsidRPr="004A7EEA">
        <w:rPr>
          <w:lang w:val="fr-FR"/>
        </w:rPr>
        <w:t xml:space="preserve">àaccroître la sensibilisation, à forger un consensus et à créer une dynamique permettant de progresser vers les </w:t>
      </w:r>
      <w:r>
        <w:rPr>
          <w:lang w:val="fr-FR"/>
        </w:rPr>
        <w:t>objectifs</w:t>
      </w:r>
      <w:r w:rsidRPr="004A7EEA">
        <w:rPr>
          <w:lang w:val="fr-FR"/>
        </w:rPr>
        <w:t xml:space="preserve"> de la CIPD. </w:t>
      </w:r>
      <w:r w:rsidRPr="004C297D">
        <w:rPr>
          <w:lang w:val="fr-FR"/>
        </w:rPr>
        <w:t>D’autres travaux mondiaux financés par le PMR ont renforcé la capacité de programmation de l’UNFPA, par exemple en institutionnalisant la programmation bas</w:t>
      </w:r>
      <w:r>
        <w:rPr>
          <w:lang w:val="fr-FR"/>
        </w:rPr>
        <w:t>é</w:t>
      </w:r>
      <w:r w:rsidRPr="004C297D">
        <w:rPr>
          <w:lang w:val="fr-FR"/>
        </w:rPr>
        <w:t xml:space="preserve">e sur les faits, en renforçant la gestion </w:t>
      </w:r>
      <w:r>
        <w:rPr>
          <w:lang w:val="fr-FR"/>
        </w:rPr>
        <w:t xml:space="preserve">axée sur les résultats et en refondant la structure de l’organisation autour des bureaux régionaux (BR), en conformité avec l’agenda de l’UNFPA centré sur le terrain. </w:t>
      </w:r>
      <w:r w:rsidRPr="008A1B77">
        <w:rPr>
          <w:lang w:val="fr-FR"/>
        </w:rPr>
        <w:t>Les BR ont utilisé le financement du PMR pour renforcer les interventions au niveau du pays par des initiatives comme la Campagne sur la diminution accélérée de la mortalit</w:t>
      </w:r>
      <w:r>
        <w:rPr>
          <w:lang w:val="fr-FR"/>
        </w:rPr>
        <w:t xml:space="preserve">é maternelle, du nouveau-né et de l’enfant </w:t>
      </w:r>
      <w:r w:rsidRPr="008A1B77">
        <w:rPr>
          <w:lang w:val="fr-FR"/>
        </w:rPr>
        <w:t xml:space="preserve">(CARMMA) </w:t>
      </w:r>
      <w:r>
        <w:rPr>
          <w:lang w:val="fr-FR"/>
        </w:rPr>
        <w:t xml:space="preserve">en Afrique et le réseau Jeunes-Éducation par les pairs </w:t>
      </w:r>
      <w:r w:rsidRPr="008A1B77">
        <w:rPr>
          <w:lang w:val="fr-FR"/>
        </w:rPr>
        <w:t>(Y-PEER)</w:t>
      </w:r>
      <w:r>
        <w:rPr>
          <w:lang w:val="fr-FR"/>
        </w:rPr>
        <w:t xml:space="preserve">en Europe de l’est et en Asie centrale par exemple. </w:t>
      </w:r>
    </w:p>
    <w:p w:rsidR="001D71AD" w:rsidRPr="008A1B77" w:rsidRDefault="001D71AD" w:rsidP="004B590F">
      <w:pPr>
        <w:ind w:left="1080" w:right="720"/>
        <w:jc w:val="both"/>
        <w:rPr>
          <w:lang w:val="fr-FR"/>
        </w:rPr>
      </w:pPr>
    </w:p>
    <w:p w:rsidR="001D71AD" w:rsidRPr="0061614E" w:rsidRDefault="001D71AD" w:rsidP="0061614E">
      <w:pPr>
        <w:pStyle w:val="Heading3"/>
      </w:pPr>
      <w:r w:rsidRPr="003F7D62">
        <w:rPr>
          <w:lang w:val="fr-FR"/>
        </w:rPr>
        <w:t>Portée des interventions mondiales et r</w:t>
      </w:r>
      <w:r>
        <w:rPr>
          <w:lang w:val="fr-FR"/>
        </w:rPr>
        <w:t>égionales</w:t>
      </w:r>
    </w:p>
    <w:p w:rsidR="001D71AD" w:rsidRPr="003F7D62" w:rsidRDefault="001D71AD" w:rsidP="004B590F">
      <w:pPr>
        <w:ind w:left="1080" w:right="720"/>
        <w:jc w:val="both"/>
      </w:pPr>
    </w:p>
    <w:p w:rsidR="001D71AD" w:rsidRPr="007753CD" w:rsidRDefault="001D71AD" w:rsidP="00BB13A1">
      <w:pPr>
        <w:numPr>
          <w:ilvl w:val="0"/>
          <w:numId w:val="4"/>
        </w:numPr>
        <w:ind w:left="1080" w:right="720" w:firstLine="0"/>
        <w:jc w:val="both"/>
        <w:rPr>
          <w:lang w:val="fr-FR"/>
        </w:rPr>
      </w:pPr>
      <w:r w:rsidRPr="001B1B94">
        <w:rPr>
          <w:lang w:val="fr-FR"/>
        </w:rPr>
        <w:t xml:space="preserve">L’expérience de l’UNFPA dans le domaine des interventions mondiales et régionales </w:t>
      </w:r>
      <w:r>
        <w:rPr>
          <w:lang w:val="fr-FR"/>
        </w:rPr>
        <w:t>dé</w:t>
      </w:r>
      <w:r w:rsidRPr="001B1B94">
        <w:rPr>
          <w:lang w:val="fr-FR"/>
        </w:rPr>
        <w:t xml:space="preserve">montre que les types d’activités programmatiques suivantes complètent parfaitement les programmes de pays et contribuent </w:t>
      </w:r>
      <w:r>
        <w:rPr>
          <w:lang w:val="fr-FR"/>
        </w:rPr>
        <w:t xml:space="preserve">à maximiser l’impact institutionnel concernant les dimensions soulignées ci-dessus. </w:t>
      </w:r>
    </w:p>
    <w:p w:rsidR="001D71AD" w:rsidRDefault="001D71AD" w:rsidP="00BB13A1">
      <w:pPr>
        <w:numPr>
          <w:ilvl w:val="0"/>
          <w:numId w:val="25"/>
        </w:numPr>
        <w:ind w:left="1530" w:right="720" w:firstLine="0"/>
        <w:jc w:val="both"/>
        <w:rPr>
          <w:lang w:val="fr-FR"/>
        </w:rPr>
      </w:pPr>
      <w:r>
        <w:rPr>
          <w:lang w:val="fr-FR"/>
        </w:rPr>
        <w:t>Cré</w:t>
      </w:r>
      <w:r w:rsidRPr="007753CD">
        <w:rPr>
          <w:lang w:val="fr-FR"/>
        </w:rPr>
        <w:t>ation et partage de connaissances/données;</w:t>
      </w:r>
    </w:p>
    <w:p w:rsidR="001D71AD" w:rsidRPr="000845BF" w:rsidRDefault="001D71AD" w:rsidP="00BB13A1">
      <w:pPr>
        <w:numPr>
          <w:ilvl w:val="0"/>
          <w:numId w:val="25"/>
        </w:numPr>
        <w:ind w:right="720" w:firstLine="810"/>
        <w:jc w:val="both"/>
        <w:rPr>
          <w:lang w:val="fr-CA"/>
        </w:rPr>
      </w:pPr>
      <w:r w:rsidRPr="000845BF">
        <w:rPr>
          <w:lang w:val="fr-CA"/>
        </w:rPr>
        <w:t>Plaidoyer ;</w:t>
      </w:r>
    </w:p>
    <w:p w:rsidR="001D71AD" w:rsidRPr="000845BF" w:rsidRDefault="001D71AD" w:rsidP="00BB13A1">
      <w:pPr>
        <w:numPr>
          <w:ilvl w:val="0"/>
          <w:numId w:val="25"/>
        </w:numPr>
        <w:ind w:right="720" w:firstLine="810"/>
        <w:jc w:val="both"/>
        <w:rPr>
          <w:lang w:val="fr-CA"/>
        </w:rPr>
      </w:pPr>
      <w:r w:rsidRPr="000845BF">
        <w:rPr>
          <w:lang w:val="fr-CA"/>
        </w:rPr>
        <w:t>Dialogue intergouvernemental sur les politiques ;</w:t>
      </w:r>
    </w:p>
    <w:p w:rsidR="001D71AD" w:rsidRPr="000845BF" w:rsidRDefault="001D71AD" w:rsidP="00BB13A1">
      <w:pPr>
        <w:numPr>
          <w:ilvl w:val="0"/>
          <w:numId w:val="25"/>
        </w:numPr>
        <w:ind w:right="720" w:firstLine="810"/>
        <w:jc w:val="both"/>
        <w:rPr>
          <w:lang w:val="fr-CA"/>
        </w:rPr>
      </w:pPr>
      <w:r w:rsidRPr="000845BF">
        <w:rPr>
          <w:lang w:val="fr-CA"/>
        </w:rPr>
        <w:t>Connaissance</w:t>
      </w:r>
      <w:r>
        <w:rPr>
          <w:lang w:val="fr-CA"/>
        </w:rPr>
        <w:t>s</w:t>
      </w:r>
      <w:r w:rsidRPr="000845BF">
        <w:rPr>
          <w:lang w:val="fr-CA"/>
        </w:rPr>
        <w:t xml:space="preserve"> technique</w:t>
      </w:r>
      <w:r>
        <w:rPr>
          <w:lang w:val="fr-CA"/>
        </w:rPr>
        <w:t>s</w:t>
      </w:r>
      <w:r w:rsidRPr="000845BF">
        <w:rPr>
          <w:lang w:val="fr-CA"/>
        </w:rPr>
        <w:t xml:space="preserve"> de pointe ;</w:t>
      </w:r>
    </w:p>
    <w:p w:rsidR="001D71AD" w:rsidRPr="000845BF" w:rsidRDefault="001D71AD" w:rsidP="00BB13A1">
      <w:pPr>
        <w:numPr>
          <w:ilvl w:val="0"/>
          <w:numId w:val="25"/>
        </w:numPr>
        <w:ind w:right="720" w:firstLine="810"/>
        <w:jc w:val="both"/>
        <w:rPr>
          <w:lang w:val="fr-CA"/>
        </w:rPr>
      </w:pPr>
      <w:r w:rsidRPr="000845BF">
        <w:rPr>
          <w:lang w:val="fr-CA"/>
        </w:rPr>
        <w:t>Standards et normes;</w:t>
      </w:r>
    </w:p>
    <w:p w:rsidR="001D71AD" w:rsidRPr="000845BF" w:rsidRDefault="001D71AD" w:rsidP="00BB13A1">
      <w:pPr>
        <w:numPr>
          <w:ilvl w:val="0"/>
          <w:numId w:val="25"/>
        </w:numPr>
        <w:ind w:right="720" w:firstLine="810"/>
        <w:jc w:val="both"/>
        <w:rPr>
          <w:lang w:val="fr-CA"/>
        </w:rPr>
      </w:pPr>
      <w:r w:rsidRPr="000845BF">
        <w:rPr>
          <w:lang w:val="fr-CA"/>
        </w:rPr>
        <w:t>Développement des capacités et</w:t>
      </w:r>
    </w:p>
    <w:p w:rsidR="001D71AD" w:rsidRPr="000845BF" w:rsidRDefault="001D71AD" w:rsidP="00BB13A1">
      <w:pPr>
        <w:numPr>
          <w:ilvl w:val="0"/>
          <w:numId w:val="25"/>
        </w:numPr>
        <w:ind w:right="720" w:firstLine="810"/>
        <w:jc w:val="both"/>
        <w:rPr>
          <w:lang w:val="fr-CA"/>
        </w:rPr>
      </w:pPr>
      <w:r w:rsidRPr="000845BF">
        <w:rPr>
          <w:lang w:val="fr-CA"/>
        </w:rPr>
        <w:t>Appui technique, opérationnel et programmatique sur le terrain.</w:t>
      </w:r>
    </w:p>
    <w:p w:rsidR="001D71AD" w:rsidRPr="000845BF" w:rsidRDefault="001D71AD" w:rsidP="00465EE5">
      <w:pPr>
        <w:ind w:left="1080" w:right="720"/>
        <w:jc w:val="both"/>
        <w:rPr>
          <w:lang w:val="fr-CA"/>
        </w:rPr>
      </w:pPr>
    </w:p>
    <w:p w:rsidR="001D71AD" w:rsidRPr="00BB2268" w:rsidRDefault="001D71AD" w:rsidP="00BB13A1">
      <w:pPr>
        <w:numPr>
          <w:ilvl w:val="0"/>
          <w:numId w:val="4"/>
        </w:numPr>
        <w:ind w:left="1080" w:right="720" w:firstLine="0"/>
        <w:jc w:val="both"/>
        <w:rPr>
          <w:lang w:val="fr-FR"/>
        </w:rPr>
      </w:pPr>
      <w:r w:rsidRPr="00BB2268">
        <w:rPr>
          <w:lang w:val="fr-FR"/>
        </w:rPr>
        <w:t xml:space="preserve">Alors que ce sont généralement le meilleur type d’activités à exercer aux niveaux mondial et régional pour tirer le meilleur parti de </w:t>
      </w:r>
      <w:r>
        <w:rPr>
          <w:lang w:val="fr-FR"/>
        </w:rPr>
        <w:t>l’ensemble de ses ressources</w:t>
      </w:r>
      <w:r w:rsidRPr="00BB2268">
        <w:rPr>
          <w:lang w:val="fr-FR"/>
        </w:rPr>
        <w:t>, il est important de noter que chaque intervention doit être soigneusement con</w:t>
      </w:r>
      <w:r>
        <w:rPr>
          <w:lang w:val="fr-FR"/>
        </w:rPr>
        <w:t xml:space="preserve">çue et pesée en fonction des besoins spécifiques et des résultats auxquels elle est sensée contribuer dans le contexte du Plan stratégique. </w:t>
      </w:r>
    </w:p>
    <w:p w:rsidR="001D71AD" w:rsidRPr="00BB2268" w:rsidRDefault="001D71AD" w:rsidP="00465EE5">
      <w:pPr>
        <w:ind w:left="1080" w:right="720"/>
        <w:jc w:val="both"/>
        <w:rPr>
          <w:lang w:val="fr-FR"/>
        </w:rPr>
      </w:pPr>
    </w:p>
    <w:p w:rsidR="001D71AD" w:rsidRPr="008D0C9B" w:rsidRDefault="001D71AD" w:rsidP="00BB13A1">
      <w:pPr>
        <w:numPr>
          <w:ilvl w:val="0"/>
          <w:numId w:val="4"/>
        </w:numPr>
        <w:ind w:left="1080" w:right="720" w:firstLine="0"/>
        <w:jc w:val="both"/>
        <w:rPr>
          <w:lang w:val="fr-FR"/>
        </w:rPr>
      </w:pPr>
      <w:r w:rsidRPr="002A41D7">
        <w:rPr>
          <w:lang w:val="fr-FR"/>
        </w:rPr>
        <w:t>Il est important de noter cependant que</w:t>
      </w:r>
      <w:r>
        <w:rPr>
          <w:lang w:val="fr-FR"/>
        </w:rPr>
        <w:t xml:space="preserve"> les auditeurs considèrent parfois certaines </w:t>
      </w:r>
      <w:r w:rsidRPr="002A41D7">
        <w:rPr>
          <w:lang w:val="fr-FR"/>
        </w:rPr>
        <w:t xml:space="preserve"> interventions mondiales et r</w:t>
      </w:r>
      <w:r>
        <w:rPr>
          <w:lang w:val="fr-FR"/>
        </w:rPr>
        <w:t>égionales coûts de gestion ou d’efficacité de développement</w:t>
      </w:r>
      <w:r w:rsidRPr="00465EE5">
        <w:rPr>
          <w:vertAlign w:val="superscript"/>
        </w:rPr>
        <w:footnoteReference w:id="1"/>
      </w:r>
      <w:r w:rsidRPr="002A41D7">
        <w:rPr>
          <w:lang w:val="fr-FR"/>
        </w:rPr>
        <w:t xml:space="preserve">. </w:t>
      </w:r>
      <w:r w:rsidRPr="005816C7">
        <w:rPr>
          <w:lang w:val="fr-FR"/>
        </w:rPr>
        <w:t>En réalité, ilest parfois difficile de distinguer dans certains cas, entre frais programmatiques et frais d</w:t>
      </w:r>
      <w:r>
        <w:rPr>
          <w:lang w:val="fr-FR"/>
        </w:rPr>
        <w:t xml:space="preserve">’efficacité de développement Dans le processus d’élaboration du budget intégré de </w:t>
      </w:r>
      <w:r w:rsidRPr="005816C7">
        <w:rPr>
          <w:lang w:val="fr-FR"/>
        </w:rPr>
        <w:t xml:space="preserve">2014-2017, </w:t>
      </w:r>
      <w:r>
        <w:rPr>
          <w:lang w:val="fr-FR"/>
        </w:rPr>
        <w:t>l’</w:t>
      </w:r>
      <w:r w:rsidRPr="005816C7">
        <w:rPr>
          <w:lang w:val="fr-FR"/>
        </w:rPr>
        <w:t xml:space="preserve">UNFPA </w:t>
      </w:r>
      <w:r>
        <w:rPr>
          <w:lang w:val="fr-FR"/>
        </w:rPr>
        <w:t xml:space="preserve">a examiné de près la classification des ressources de base à travers les catégories programmatiques et non programmatiques et a substantiellement transféré les coûts </w:t>
      </w:r>
      <w:r>
        <w:rPr>
          <w:lang w:val="fr-FR"/>
        </w:rPr>
        <w:lastRenderedPageBreak/>
        <w:t>entre elles.</w:t>
      </w:r>
      <w:r w:rsidRPr="0051291A">
        <w:rPr>
          <w:lang w:val="fr-FR"/>
        </w:rPr>
        <w:t>En conséquence, dans ce budget, les fonds sont inscrits d</w:t>
      </w:r>
      <w:r>
        <w:rPr>
          <w:lang w:val="fr-FR"/>
        </w:rPr>
        <w:t>a</w:t>
      </w:r>
      <w:r w:rsidRPr="0051291A">
        <w:rPr>
          <w:lang w:val="fr-FR"/>
        </w:rPr>
        <w:t xml:space="preserve">vantage selon les </w:t>
      </w:r>
      <w:r>
        <w:rPr>
          <w:lang w:val="fr-FR"/>
        </w:rPr>
        <w:t>caté</w:t>
      </w:r>
      <w:r w:rsidRPr="0051291A">
        <w:rPr>
          <w:lang w:val="fr-FR"/>
        </w:rPr>
        <w:t xml:space="preserve">gories correspondantes d’efficacité de développement ou </w:t>
      </w:r>
      <w:r>
        <w:rPr>
          <w:lang w:val="fr-FR"/>
        </w:rPr>
        <w:t xml:space="preserve">lescatégories de coûts de gestion. </w:t>
      </w:r>
      <w:r w:rsidRPr="00C9193F">
        <w:rPr>
          <w:lang w:val="fr-FR"/>
        </w:rPr>
        <w:t xml:space="preserve">Parallèlement, </w:t>
      </w:r>
      <w:r>
        <w:rPr>
          <w:lang w:val="fr-FR"/>
        </w:rPr>
        <w:t xml:space="preserve">certaines </w:t>
      </w:r>
      <w:r w:rsidRPr="00C9193F">
        <w:rPr>
          <w:lang w:val="fr-FR"/>
        </w:rPr>
        <w:t xml:space="preserve">demandes </w:t>
      </w:r>
      <w:r>
        <w:rPr>
          <w:lang w:val="fr-FR"/>
        </w:rPr>
        <w:t xml:space="preserve">sur l’institution </w:t>
      </w:r>
      <w:r w:rsidRPr="00C9193F">
        <w:rPr>
          <w:lang w:val="fr-FR"/>
        </w:rPr>
        <w:t xml:space="preserve">ne se font jour qu’après l’instauration du budget quadriennal comme celles qui peuvent </w:t>
      </w:r>
      <w:r>
        <w:rPr>
          <w:lang w:val="fr-FR"/>
        </w:rPr>
        <w:t xml:space="preserve">être imposées par le comité exécutif, par exemple. </w:t>
      </w:r>
      <w:r w:rsidRPr="004E58C6">
        <w:rPr>
          <w:lang w:val="fr-FR"/>
        </w:rPr>
        <w:t xml:space="preserve">Lorsque </w:t>
      </w:r>
      <w:r>
        <w:rPr>
          <w:lang w:val="fr-FR"/>
        </w:rPr>
        <w:t xml:space="preserve">son </w:t>
      </w:r>
      <w:r w:rsidRPr="004E58C6">
        <w:rPr>
          <w:lang w:val="fr-FR"/>
        </w:rPr>
        <w:t>champ des responsabilités mondiales ou régionales s’étend, l’institution se voit parfois dans l</w:t>
      </w:r>
      <w:r>
        <w:rPr>
          <w:lang w:val="fr-FR"/>
        </w:rPr>
        <w:t xml:space="preserve">’obligation tout à fait légitime, de compter sur des ressources de bases complémentaires qui peuvent être considérées par une stricte interprétation de </w:t>
      </w:r>
      <w:r w:rsidRPr="004E58C6">
        <w:rPr>
          <w:lang w:val="fr-FR"/>
        </w:rPr>
        <w:t xml:space="preserve">DP-FPA/2010/1-E/ICEF/2010/AB/L.10 </w:t>
      </w:r>
      <w:r>
        <w:rPr>
          <w:lang w:val="fr-FR"/>
        </w:rPr>
        <w:t>comme coûts de gestion ou d’efficacité de développement.</w:t>
      </w:r>
      <w:r w:rsidRPr="004E58C6">
        <w:rPr>
          <w:lang w:val="fr-FR"/>
        </w:rPr>
        <w:t xml:space="preserve">Ces activités auraient normalement dû être financées par le budget institutionnel, mais du fait qu’il manque à ce dernier la souplesse nécessaire pendant le cycle de budget, </w:t>
      </w:r>
      <w:r>
        <w:rPr>
          <w:lang w:val="fr-FR"/>
        </w:rPr>
        <w:t xml:space="preserve">il y a encore besoin d’utiliser </w:t>
      </w:r>
      <w:r w:rsidRPr="004E58C6">
        <w:rPr>
          <w:lang w:val="fr-FR"/>
        </w:rPr>
        <w:t>le m</w:t>
      </w:r>
      <w:r>
        <w:rPr>
          <w:lang w:val="fr-FR"/>
        </w:rPr>
        <w:t xml:space="preserve">écanisme de financement des interventions mondiales et régionales à ces fins. </w:t>
      </w:r>
      <w:r w:rsidRPr="008D0C9B">
        <w:rPr>
          <w:lang w:val="fr-FR"/>
        </w:rPr>
        <w:t>Ainsi, nous sommes conscients qu’il existe encore des imperfections et que d</w:t>
      </w:r>
      <w:r>
        <w:rPr>
          <w:lang w:val="fr-FR"/>
        </w:rPr>
        <w:t xml:space="preserve">es </w:t>
      </w:r>
      <w:r w:rsidRPr="008D0C9B">
        <w:rPr>
          <w:lang w:val="fr-FR"/>
        </w:rPr>
        <w:t xml:space="preserve">efforts sont </w:t>
      </w:r>
      <w:r>
        <w:rPr>
          <w:lang w:val="fr-FR"/>
        </w:rPr>
        <w:t xml:space="preserve">encore </w:t>
      </w:r>
      <w:r w:rsidRPr="008D0C9B">
        <w:rPr>
          <w:lang w:val="fr-FR"/>
        </w:rPr>
        <w:t xml:space="preserve">nécessaires pour la période </w:t>
      </w:r>
      <w:r>
        <w:rPr>
          <w:lang w:val="fr-FR"/>
        </w:rPr>
        <w:t xml:space="preserve">à venir. </w:t>
      </w:r>
    </w:p>
    <w:p w:rsidR="001D71AD" w:rsidRPr="008D0C9B" w:rsidRDefault="001D71AD" w:rsidP="00465EE5">
      <w:pPr>
        <w:ind w:left="1080" w:right="720"/>
        <w:jc w:val="both"/>
        <w:rPr>
          <w:lang w:val="fr-FR"/>
        </w:rPr>
      </w:pPr>
    </w:p>
    <w:p w:rsidR="001D71AD" w:rsidRPr="00EB162B" w:rsidRDefault="001D71AD" w:rsidP="00BB13A1">
      <w:pPr>
        <w:numPr>
          <w:ilvl w:val="0"/>
          <w:numId w:val="4"/>
        </w:numPr>
        <w:ind w:left="1080" w:right="720" w:firstLine="0"/>
        <w:jc w:val="both"/>
        <w:rPr>
          <w:lang w:val="fr-FR"/>
        </w:rPr>
      </w:pPr>
      <w:r w:rsidRPr="0001066F">
        <w:rPr>
          <w:lang w:val="fr-FR"/>
        </w:rPr>
        <w:t>Les procédures décrites ci-dessous ont été adoptées afin de garantir l’approbation et un suivi facile par des m</w:t>
      </w:r>
      <w:r>
        <w:rPr>
          <w:lang w:val="fr-FR"/>
        </w:rPr>
        <w:t xml:space="preserve">écanismes systématiques et transparents des interventions mondiales et régionales. </w:t>
      </w:r>
      <w:r w:rsidRPr="00EB162B">
        <w:rPr>
          <w:lang w:val="fr-FR"/>
        </w:rPr>
        <w:t xml:space="preserve">Un processus d’attribution des ressources pleinement transparent et robuste doté de critères d’admissibilité appliqués à toutes les interventions mondiales et </w:t>
      </w:r>
      <w:r>
        <w:rPr>
          <w:lang w:val="fr-FR"/>
        </w:rPr>
        <w:t>ré</w:t>
      </w:r>
      <w:r w:rsidRPr="00EB162B">
        <w:rPr>
          <w:lang w:val="fr-FR"/>
        </w:rPr>
        <w:t>gional</w:t>
      </w:r>
      <w:r>
        <w:rPr>
          <w:lang w:val="fr-FR"/>
        </w:rPr>
        <w:t>e</w:t>
      </w:r>
      <w:r w:rsidRPr="00EB162B">
        <w:rPr>
          <w:lang w:val="fr-FR"/>
        </w:rPr>
        <w:t>s, y compris celles qui vo</w:t>
      </w:r>
      <w:r>
        <w:rPr>
          <w:lang w:val="fr-FR"/>
        </w:rPr>
        <w:t>i</w:t>
      </w:r>
      <w:r w:rsidRPr="00EB162B">
        <w:rPr>
          <w:lang w:val="fr-FR"/>
        </w:rPr>
        <w:t>ent le jour pendant la p</w:t>
      </w:r>
      <w:r>
        <w:rPr>
          <w:lang w:val="fr-FR"/>
        </w:rPr>
        <w:t xml:space="preserve">ériode </w:t>
      </w:r>
      <w:r w:rsidRPr="00EB162B">
        <w:rPr>
          <w:lang w:val="fr-FR"/>
        </w:rPr>
        <w:t>2014-2017</w:t>
      </w:r>
      <w:r>
        <w:rPr>
          <w:lang w:val="fr-FR"/>
        </w:rPr>
        <w:t xml:space="preserve">, contribuera à ce que les fonds consacrés à ces fins ne servent pas simplement de supplément pour couvrir les coûts d’administration institutionnels de base. </w:t>
      </w:r>
    </w:p>
    <w:p w:rsidR="001D71AD" w:rsidRPr="00EB162B" w:rsidRDefault="001D71AD" w:rsidP="00465EE5">
      <w:pPr>
        <w:ind w:left="1080" w:right="720"/>
        <w:jc w:val="both"/>
        <w:rPr>
          <w:lang w:val="fr-FR"/>
        </w:rPr>
      </w:pPr>
    </w:p>
    <w:p w:rsidR="001D71AD" w:rsidRPr="000845BF" w:rsidRDefault="001D71AD" w:rsidP="0061614E">
      <w:pPr>
        <w:pStyle w:val="Heading2"/>
        <w:rPr>
          <w:lang w:val="fr-CA"/>
        </w:rPr>
      </w:pPr>
      <w:bookmarkStart w:id="6" w:name="_Toc363918446"/>
      <w:r w:rsidRPr="000845BF">
        <w:rPr>
          <w:lang w:val="fr-CA"/>
        </w:rPr>
        <w:t>Attribution des ressources</w:t>
      </w:r>
      <w:bookmarkEnd w:id="6"/>
    </w:p>
    <w:p w:rsidR="001D71AD" w:rsidRPr="000845BF" w:rsidRDefault="001D71AD" w:rsidP="0061614E">
      <w:pPr>
        <w:pStyle w:val="Heading3"/>
        <w:numPr>
          <w:ilvl w:val="0"/>
          <w:numId w:val="0"/>
        </w:numPr>
        <w:ind w:left="1440"/>
        <w:rPr>
          <w:lang w:val="fr-CA"/>
        </w:rPr>
      </w:pPr>
    </w:p>
    <w:p w:rsidR="001D71AD" w:rsidRPr="0061614E" w:rsidRDefault="001D71AD" w:rsidP="00BB13A1">
      <w:pPr>
        <w:pStyle w:val="Heading3"/>
        <w:numPr>
          <w:ilvl w:val="0"/>
          <w:numId w:val="20"/>
        </w:numPr>
        <w:ind w:left="1440"/>
      </w:pPr>
      <w:r w:rsidRPr="0061614E">
        <w:t>Principes</w:t>
      </w:r>
    </w:p>
    <w:p w:rsidR="001D71AD" w:rsidRDefault="001D71AD" w:rsidP="00396E02">
      <w:pPr>
        <w:ind w:left="1080" w:right="720"/>
        <w:jc w:val="both"/>
      </w:pPr>
    </w:p>
    <w:p w:rsidR="001D71AD" w:rsidRPr="00A05828" w:rsidRDefault="001D71AD" w:rsidP="00BB13A1">
      <w:pPr>
        <w:numPr>
          <w:ilvl w:val="0"/>
          <w:numId w:val="4"/>
        </w:numPr>
        <w:ind w:left="1080" w:right="720" w:firstLine="0"/>
        <w:jc w:val="both"/>
        <w:rPr>
          <w:lang w:val="fr-FR"/>
        </w:rPr>
      </w:pPr>
      <w:r w:rsidRPr="00A05828">
        <w:rPr>
          <w:lang w:val="fr-FR"/>
        </w:rPr>
        <w:t xml:space="preserve">Pendant la durée du plan stratégique 2014-2017, les attributions pour interventions mondiales et </w:t>
      </w:r>
      <w:r>
        <w:rPr>
          <w:lang w:val="fr-FR"/>
        </w:rPr>
        <w:t>ré</w:t>
      </w:r>
      <w:r w:rsidRPr="00A05828">
        <w:rPr>
          <w:lang w:val="fr-FR"/>
        </w:rPr>
        <w:t>gional</w:t>
      </w:r>
      <w:r>
        <w:rPr>
          <w:lang w:val="fr-FR"/>
        </w:rPr>
        <w:t>e</w:t>
      </w:r>
      <w:r w:rsidRPr="00A05828">
        <w:rPr>
          <w:lang w:val="fr-FR"/>
        </w:rPr>
        <w:t>s seront fondées sur les principes suivants :</w:t>
      </w:r>
    </w:p>
    <w:p w:rsidR="001D71AD" w:rsidRPr="000C3C4F" w:rsidRDefault="001D71AD" w:rsidP="00BB13A1">
      <w:pPr>
        <w:numPr>
          <w:ilvl w:val="0"/>
          <w:numId w:val="26"/>
        </w:numPr>
        <w:ind w:left="1890" w:right="720" w:hanging="450"/>
        <w:jc w:val="both"/>
        <w:rPr>
          <w:lang w:val="fr-FR"/>
        </w:rPr>
      </w:pPr>
      <w:r w:rsidRPr="000C3C4F">
        <w:rPr>
          <w:lang w:val="fr-FR"/>
        </w:rPr>
        <w:t>Conformité avec les paramètres de financement convenus a</w:t>
      </w:r>
      <w:r>
        <w:rPr>
          <w:lang w:val="fr-FR"/>
        </w:rPr>
        <w:t>vec le Conseil d’administration</w:t>
      </w:r>
      <w:r w:rsidRPr="000C3C4F">
        <w:rPr>
          <w:lang w:val="fr-FR"/>
        </w:rPr>
        <w:t>;</w:t>
      </w:r>
    </w:p>
    <w:p w:rsidR="001D71AD" w:rsidRPr="00AC6A6E" w:rsidRDefault="001D71AD" w:rsidP="00BB13A1">
      <w:pPr>
        <w:numPr>
          <w:ilvl w:val="0"/>
          <w:numId w:val="26"/>
        </w:numPr>
        <w:ind w:left="1890" w:right="720" w:hanging="450"/>
        <w:jc w:val="both"/>
        <w:rPr>
          <w:lang w:val="fr-FR"/>
        </w:rPr>
      </w:pPr>
      <w:r w:rsidRPr="00AC6A6E">
        <w:rPr>
          <w:lang w:val="fr-FR"/>
        </w:rPr>
        <w:t xml:space="preserve">Cohérence avec les </w:t>
      </w:r>
      <w:r>
        <w:rPr>
          <w:lang w:val="fr-FR"/>
        </w:rPr>
        <w:t xml:space="preserve">produits/résultats spécifiques de </w:t>
      </w:r>
      <w:r w:rsidRPr="00AC6A6E">
        <w:rPr>
          <w:lang w:val="fr-FR"/>
        </w:rPr>
        <w:t xml:space="preserve">SP 2014-2017 </w:t>
      </w:r>
      <w:r>
        <w:rPr>
          <w:lang w:val="fr-FR"/>
        </w:rPr>
        <w:t xml:space="preserve">et contributions spécifiques à ces derniers </w:t>
      </w:r>
      <w:r w:rsidRPr="00AC6A6E">
        <w:rPr>
          <w:lang w:val="fr-FR"/>
        </w:rPr>
        <w:t>;</w:t>
      </w:r>
    </w:p>
    <w:p w:rsidR="001D71AD" w:rsidRPr="00AC6A6E" w:rsidRDefault="001D71AD" w:rsidP="00BB13A1">
      <w:pPr>
        <w:numPr>
          <w:ilvl w:val="0"/>
          <w:numId w:val="26"/>
        </w:numPr>
        <w:ind w:right="720" w:hanging="1170"/>
        <w:jc w:val="both"/>
        <w:rPr>
          <w:lang w:val="fr-FR"/>
        </w:rPr>
      </w:pPr>
      <w:r w:rsidRPr="00AC6A6E">
        <w:rPr>
          <w:lang w:val="fr-FR"/>
        </w:rPr>
        <w:t>Critères et processus de prise de d</w:t>
      </w:r>
      <w:r>
        <w:rPr>
          <w:lang w:val="fr-FR"/>
        </w:rPr>
        <w:t xml:space="preserve">écision transparents </w:t>
      </w:r>
      <w:r w:rsidRPr="00AC6A6E">
        <w:rPr>
          <w:lang w:val="fr-FR"/>
        </w:rPr>
        <w:t>;</w:t>
      </w:r>
    </w:p>
    <w:p w:rsidR="001D71AD" w:rsidRPr="00AC6A6E" w:rsidRDefault="001D71AD" w:rsidP="00BB13A1">
      <w:pPr>
        <w:numPr>
          <w:ilvl w:val="0"/>
          <w:numId w:val="26"/>
        </w:numPr>
        <w:ind w:right="720" w:hanging="1170"/>
        <w:jc w:val="both"/>
        <w:rPr>
          <w:lang w:val="fr-FR"/>
        </w:rPr>
      </w:pPr>
      <w:r w:rsidRPr="00AC6A6E">
        <w:rPr>
          <w:lang w:val="fr-FR"/>
        </w:rPr>
        <w:t>Examen par les pairs / mécanisme d’assurance qualité robustes et indépendants</w:t>
      </w:r>
      <w:r>
        <w:rPr>
          <w:lang w:val="fr-FR"/>
        </w:rPr>
        <w:t xml:space="preserve"> ; </w:t>
      </w:r>
      <w:r w:rsidRPr="00AC6A6E">
        <w:rPr>
          <w:lang w:val="fr-FR"/>
        </w:rPr>
        <w:t xml:space="preserve"> et </w:t>
      </w:r>
    </w:p>
    <w:p w:rsidR="001D71AD" w:rsidRPr="00AC6A6E" w:rsidRDefault="001D71AD" w:rsidP="00BB13A1">
      <w:pPr>
        <w:numPr>
          <w:ilvl w:val="0"/>
          <w:numId w:val="26"/>
        </w:numPr>
        <w:ind w:right="720" w:hanging="1170"/>
        <w:jc w:val="both"/>
        <w:rPr>
          <w:lang w:val="fr-FR"/>
        </w:rPr>
      </w:pPr>
      <w:r w:rsidRPr="00AC6A6E">
        <w:rPr>
          <w:lang w:val="fr-FR"/>
        </w:rPr>
        <w:t>Rôles et responsabilités institutionnels bien d</w:t>
      </w:r>
      <w:r>
        <w:rPr>
          <w:lang w:val="fr-FR"/>
        </w:rPr>
        <w:t>éfinis.</w:t>
      </w:r>
    </w:p>
    <w:p w:rsidR="001D71AD" w:rsidRPr="00AC6A6E" w:rsidRDefault="001D71AD" w:rsidP="00465EE5">
      <w:pPr>
        <w:ind w:left="1080" w:right="720"/>
        <w:jc w:val="both"/>
        <w:rPr>
          <w:lang w:val="fr-FR"/>
        </w:rPr>
      </w:pPr>
    </w:p>
    <w:p w:rsidR="001D71AD" w:rsidRPr="00312DDE" w:rsidRDefault="001D71AD" w:rsidP="00BB13A1">
      <w:pPr>
        <w:numPr>
          <w:ilvl w:val="0"/>
          <w:numId w:val="4"/>
        </w:numPr>
        <w:ind w:left="1080" w:right="720" w:firstLine="0"/>
        <w:jc w:val="both"/>
        <w:rPr>
          <w:lang w:val="fr-FR"/>
        </w:rPr>
      </w:pPr>
      <w:r w:rsidRPr="00312DDE">
        <w:rPr>
          <w:lang w:val="fr-FR"/>
        </w:rPr>
        <w:t xml:space="preserve">Il est important de noter que tout le financement de base de l’UNFPA des interventions mondiales et régionales concernant la période 2014-2017 sera attribué </w:t>
      </w:r>
      <w:r>
        <w:rPr>
          <w:lang w:val="fr-FR"/>
        </w:rPr>
        <w:t xml:space="preserve">strictement </w:t>
      </w:r>
      <w:r w:rsidRPr="00312DDE">
        <w:rPr>
          <w:lang w:val="fr-FR"/>
        </w:rPr>
        <w:t>par l’intermédiaire d’un cadre établi sur ces principes, commençant par les demandes initiales de financement présent</w:t>
      </w:r>
      <w:r>
        <w:rPr>
          <w:lang w:val="fr-FR"/>
        </w:rPr>
        <w:t>ées dans le cadre du budget</w:t>
      </w:r>
      <w:r w:rsidRPr="00312DDE">
        <w:rPr>
          <w:lang w:val="fr-FR"/>
        </w:rPr>
        <w:t xml:space="preserve"> de l</w:t>
      </w:r>
      <w:r>
        <w:rPr>
          <w:lang w:val="fr-FR"/>
        </w:rPr>
        <w:t xml:space="preserve">’exercice intégré et définies dans les propositions détaillées de plan d’action qui sont disponibles en ligne aux fins d’information de tout le personnel de l’UNFPA et du comité exécutif comme précisé ci-dessous. </w:t>
      </w:r>
    </w:p>
    <w:p w:rsidR="001D71AD" w:rsidRPr="003A5D85" w:rsidRDefault="001D71AD" w:rsidP="00611D51">
      <w:pPr>
        <w:ind w:left="1080" w:right="720"/>
        <w:jc w:val="both"/>
        <w:rPr>
          <w:lang w:val="fr-CA"/>
        </w:rPr>
      </w:pPr>
    </w:p>
    <w:p w:rsidR="001D71AD" w:rsidRPr="0061614E" w:rsidRDefault="001D71AD" w:rsidP="00BB13A1">
      <w:pPr>
        <w:pStyle w:val="Heading3"/>
        <w:numPr>
          <w:ilvl w:val="0"/>
          <w:numId w:val="20"/>
        </w:numPr>
        <w:ind w:left="1440"/>
      </w:pPr>
      <w:r w:rsidRPr="003A5D85">
        <w:rPr>
          <w:lang w:val="fr-CA"/>
        </w:rPr>
        <w:t>Paramè</w:t>
      </w:r>
      <w:r w:rsidRPr="0061614E">
        <w:t>t</w:t>
      </w:r>
      <w:r>
        <w:t>res</w:t>
      </w:r>
    </w:p>
    <w:p w:rsidR="001D71AD" w:rsidRDefault="001D71AD" w:rsidP="00611D51">
      <w:pPr>
        <w:ind w:left="1080" w:right="720"/>
        <w:jc w:val="both"/>
      </w:pPr>
    </w:p>
    <w:p w:rsidR="001D71AD" w:rsidRPr="003A5D85" w:rsidRDefault="001D71AD" w:rsidP="00BB13A1">
      <w:pPr>
        <w:numPr>
          <w:ilvl w:val="0"/>
          <w:numId w:val="4"/>
        </w:numPr>
        <w:ind w:left="1080" w:right="720" w:firstLine="0"/>
        <w:jc w:val="both"/>
        <w:rPr>
          <w:lang w:val="fr-CA"/>
        </w:rPr>
      </w:pPr>
      <w:r w:rsidRPr="00AF52FF">
        <w:rPr>
          <w:lang w:val="fr-FR"/>
        </w:rPr>
        <w:t xml:space="preserve">Le plafond de ressources global concernant les interventions mondiales et régionales est fixéà 14% des ressources de base </w:t>
      </w:r>
      <w:r>
        <w:rPr>
          <w:lang w:val="fr-FR"/>
        </w:rPr>
        <w:t>en se fondant sur</w:t>
      </w:r>
      <w:r w:rsidRPr="00AF52FF">
        <w:rPr>
          <w:lang w:val="fr-FR"/>
        </w:rPr>
        <w:t xml:space="preserve"> l’expérience du passéet le rajustement des frais généraux ainsi que </w:t>
      </w:r>
      <w:r>
        <w:rPr>
          <w:lang w:val="fr-FR"/>
        </w:rPr>
        <w:t xml:space="preserve">sur </w:t>
      </w:r>
      <w:r w:rsidRPr="00AF52FF">
        <w:rPr>
          <w:lang w:val="fr-FR"/>
        </w:rPr>
        <w:t>la connaissance des demandes à venir et du besoin de souplesse de l</w:t>
      </w:r>
      <w:r>
        <w:rPr>
          <w:lang w:val="fr-FR"/>
        </w:rPr>
        <w:t xml:space="preserve">’UNFPA pour répondre aux opportunités et besoins nouveaux dans des environnements en rapide évolution. </w:t>
      </w:r>
      <w:r w:rsidRPr="00B15D88">
        <w:rPr>
          <w:lang w:val="fr-FR"/>
        </w:rPr>
        <w:t>Cela signifie qu’un total de 270 millions USD devrait être alloué aux interventions mondiales et r</w:t>
      </w:r>
      <w:r>
        <w:rPr>
          <w:lang w:val="fr-FR"/>
        </w:rPr>
        <w:t xml:space="preserve">égionales au cours de la période </w:t>
      </w:r>
      <w:r w:rsidRPr="00B15D88">
        <w:rPr>
          <w:lang w:val="fr-FR"/>
        </w:rPr>
        <w:t>2014-2017</w:t>
      </w:r>
      <w:r>
        <w:rPr>
          <w:lang w:val="fr-FR"/>
        </w:rPr>
        <w:t>.</w:t>
      </w:r>
      <w:r w:rsidRPr="00B15D88">
        <w:rPr>
          <w:lang w:val="fr-FR"/>
        </w:rPr>
        <w:t xml:space="preserve">Conformément aux stipulations du précédent PMR, 60% des fonds programmatiques destinés aux interventions </w:t>
      </w:r>
      <w:r w:rsidRPr="00B15D88">
        <w:rPr>
          <w:lang w:val="fr-FR"/>
        </w:rPr>
        <w:lastRenderedPageBreak/>
        <w:t xml:space="preserve">mondiales et régionales seront gérés </w:t>
      </w:r>
      <w:r>
        <w:rPr>
          <w:lang w:val="fr-FR"/>
        </w:rPr>
        <w:t xml:space="preserve">au travers des BR et les </w:t>
      </w:r>
      <w:r w:rsidRPr="00B15D88">
        <w:rPr>
          <w:lang w:val="fr-FR"/>
        </w:rPr>
        <w:t>40%</w:t>
      </w:r>
      <w:r>
        <w:rPr>
          <w:lang w:val="fr-FR"/>
        </w:rPr>
        <w:t xml:space="preserve"> restants seront gérés par les unités de gestion du siège au niveau mondial. </w:t>
      </w:r>
      <w:r w:rsidRPr="003A5D85">
        <w:rPr>
          <w:lang w:val="fr-CA"/>
        </w:rPr>
        <w:t>Ces ratios seront strictement respectés.</w:t>
      </w:r>
    </w:p>
    <w:p w:rsidR="001D71AD" w:rsidRPr="00C54E1A" w:rsidRDefault="001D71AD" w:rsidP="00465EE5">
      <w:pPr>
        <w:ind w:left="1080" w:right="720"/>
        <w:jc w:val="both"/>
        <w:rPr>
          <w:lang w:val="fr-FR"/>
        </w:rPr>
      </w:pPr>
    </w:p>
    <w:p w:rsidR="001D71AD" w:rsidRPr="003A5D85" w:rsidRDefault="001D71AD" w:rsidP="00BB13A1">
      <w:pPr>
        <w:numPr>
          <w:ilvl w:val="0"/>
          <w:numId w:val="4"/>
        </w:numPr>
        <w:ind w:left="1080" w:right="720" w:firstLine="0"/>
        <w:jc w:val="both"/>
        <w:rPr>
          <w:lang w:val="fr-CA"/>
        </w:rPr>
      </w:pPr>
      <w:r w:rsidRPr="00787A0D">
        <w:rPr>
          <w:lang w:val="fr-FR"/>
        </w:rPr>
        <w:t>Les a</w:t>
      </w:r>
      <w:r>
        <w:rPr>
          <w:lang w:val="fr-FR"/>
        </w:rPr>
        <w:t>ttributions</w:t>
      </w:r>
      <w:r w:rsidRPr="00787A0D">
        <w:rPr>
          <w:lang w:val="fr-FR"/>
        </w:rPr>
        <w:t>initiales entre régions sont fondées sur un facteur de pondération qui prend en compte leurs niveaux de besoin fondés sur les types de travail qui ser</w:t>
      </w:r>
      <w:r>
        <w:rPr>
          <w:lang w:val="fr-FR"/>
        </w:rPr>
        <w:t>ont</w:t>
      </w:r>
      <w:r w:rsidRPr="00787A0D">
        <w:rPr>
          <w:lang w:val="fr-FR"/>
        </w:rPr>
        <w:t xml:space="preserve"> entrepris pour répondre à ces besoins selon le modèle fonctionnel, notamment le besoin d’appui </w:t>
      </w:r>
      <w:r>
        <w:rPr>
          <w:lang w:val="fr-FR"/>
        </w:rPr>
        <w:t>aux</w:t>
      </w:r>
      <w:r w:rsidRPr="00787A0D">
        <w:rPr>
          <w:lang w:val="fr-FR"/>
        </w:rPr>
        <w:t xml:space="preserve"> pays de la </w:t>
      </w:r>
      <w:r>
        <w:rPr>
          <w:lang w:val="fr-FR"/>
        </w:rPr>
        <w:t>ré</w:t>
      </w:r>
      <w:r w:rsidRPr="00787A0D">
        <w:rPr>
          <w:lang w:val="fr-FR"/>
        </w:rPr>
        <w:t xml:space="preserve">gion. </w:t>
      </w:r>
      <w:r w:rsidRPr="005F0774">
        <w:rPr>
          <w:lang w:val="fr-FR"/>
        </w:rPr>
        <w:t xml:space="preserve">Les </w:t>
      </w:r>
      <w:r w:rsidRPr="003A5D85">
        <w:rPr>
          <w:lang w:val="fr-CA"/>
        </w:rPr>
        <w:t xml:space="preserve">facteurs de pondération sont les suivants : </w:t>
      </w:r>
    </w:p>
    <w:p w:rsidR="001D71AD" w:rsidRPr="00787A0D" w:rsidRDefault="001D71AD" w:rsidP="00BB13A1">
      <w:pPr>
        <w:numPr>
          <w:ilvl w:val="0"/>
          <w:numId w:val="27"/>
        </w:numPr>
        <w:ind w:right="720" w:hanging="615"/>
        <w:jc w:val="both"/>
        <w:rPr>
          <w:lang w:val="fr-FR"/>
        </w:rPr>
      </w:pPr>
      <w:r w:rsidRPr="00787A0D">
        <w:rPr>
          <w:lang w:val="fr-FR"/>
        </w:rPr>
        <w:t xml:space="preserve">Montant de </w:t>
      </w:r>
      <w:r>
        <w:rPr>
          <w:lang w:val="fr-FR"/>
        </w:rPr>
        <w:t>réfé</w:t>
      </w:r>
      <w:r w:rsidRPr="00787A0D">
        <w:rPr>
          <w:lang w:val="fr-FR"/>
        </w:rPr>
        <w:t>rence égal pour tou</w:t>
      </w:r>
      <w:r>
        <w:rPr>
          <w:lang w:val="fr-FR"/>
        </w:rPr>
        <w:t>te</w:t>
      </w:r>
      <w:r w:rsidRPr="00787A0D">
        <w:rPr>
          <w:lang w:val="fr-FR"/>
        </w:rPr>
        <w:t>s les r</w:t>
      </w:r>
      <w:r>
        <w:rPr>
          <w:lang w:val="fr-FR"/>
        </w:rPr>
        <w:t xml:space="preserve">égions </w:t>
      </w:r>
      <w:r w:rsidRPr="00787A0D">
        <w:rPr>
          <w:lang w:val="fr-FR"/>
        </w:rPr>
        <w:t>(25%);</w:t>
      </w:r>
    </w:p>
    <w:p w:rsidR="001D71AD" w:rsidRPr="00BD0B4A" w:rsidRDefault="001D71AD" w:rsidP="00BB13A1">
      <w:pPr>
        <w:numPr>
          <w:ilvl w:val="0"/>
          <w:numId w:val="27"/>
        </w:numPr>
        <w:ind w:right="720" w:hanging="615"/>
        <w:jc w:val="both"/>
        <w:rPr>
          <w:lang w:val="fr-FR"/>
        </w:rPr>
      </w:pPr>
      <w:r w:rsidRPr="00BD0B4A">
        <w:rPr>
          <w:lang w:val="fr-FR"/>
        </w:rPr>
        <w:t xml:space="preserve">La cote de </w:t>
      </w:r>
      <w:r>
        <w:rPr>
          <w:lang w:val="fr-FR"/>
        </w:rPr>
        <w:t>« </w:t>
      </w:r>
      <w:r w:rsidRPr="00BD0B4A">
        <w:rPr>
          <w:lang w:val="fr-FR"/>
        </w:rPr>
        <w:t>Besoins</w:t>
      </w:r>
      <w:r>
        <w:rPr>
          <w:lang w:val="fr-FR"/>
        </w:rPr>
        <w:t> »</w:t>
      </w:r>
      <w:r w:rsidRPr="00BD0B4A">
        <w:rPr>
          <w:lang w:val="fr-FR"/>
        </w:rPr>
        <w:t xml:space="preserve"> tirée du SAR</w:t>
      </w:r>
      <w:r w:rsidRPr="001D18CB">
        <w:rPr>
          <w:rStyle w:val="FootnoteReference"/>
          <w:vertAlign w:val="superscript"/>
        </w:rPr>
        <w:footnoteReference w:id="2"/>
      </w:r>
      <w:r w:rsidRPr="00BD0B4A">
        <w:rPr>
          <w:lang w:val="fr-FR"/>
        </w:rPr>
        <w:t>concernant les pays de la r</w:t>
      </w:r>
      <w:r>
        <w:rPr>
          <w:lang w:val="fr-FR"/>
        </w:rPr>
        <w:t>égion</w:t>
      </w:r>
      <w:r w:rsidRPr="00BD0B4A">
        <w:rPr>
          <w:lang w:val="fr-FR"/>
        </w:rPr>
        <w:t xml:space="preserve"> (25%);</w:t>
      </w:r>
    </w:p>
    <w:p w:rsidR="001D71AD" w:rsidRPr="00BD0B4A" w:rsidRDefault="001D71AD" w:rsidP="00BB13A1">
      <w:pPr>
        <w:numPr>
          <w:ilvl w:val="0"/>
          <w:numId w:val="27"/>
        </w:numPr>
        <w:ind w:right="720" w:hanging="615"/>
        <w:jc w:val="both"/>
        <w:rPr>
          <w:lang w:val="fr-FR"/>
        </w:rPr>
      </w:pPr>
      <w:r>
        <w:rPr>
          <w:lang w:val="fr-FR"/>
        </w:rPr>
        <w:t xml:space="preserve">Montant total du programme de pays </w:t>
      </w:r>
      <w:r w:rsidRPr="00BD0B4A">
        <w:rPr>
          <w:lang w:val="fr-FR"/>
        </w:rPr>
        <w:t>(5%);</w:t>
      </w:r>
    </w:p>
    <w:p w:rsidR="001D71AD" w:rsidRPr="003A5D85" w:rsidRDefault="001D71AD" w:rsidP="00BB13A1">
      <w:pPr>
        <w:numPr>
          <w:ilvl w:val="0"/>
          <w:numId w:val="27"/>
        </w:numPr>
        <w:ind w:right="720" w:hanging="615"/>
        <w:jc w:val="both"/>
        <w:rPr>
          <w:lang w:val="fr-CA"/>
        </w:rPr>
      </w:pPr>
      <w:r w:rsidRPr="003A5D85">
        <w:rPr>
          <w:lang w:val="fr-CA"/>
        </w:rPr>
        <w:t xml:space="preserve">Nombre de pays (20%); </w:t>
      </w:r>
    </w:p>
    <w:p w:rsidR="001D71AD" w:rsidRPr="003A5D85" w:rsidRDefault="001D71AD" w:rsidP="00BB13A1">
      <w:pPr>
        <w:numPr>
          <w:ilvl w:val="0"/>
          <w:numId w:val="27"/>
        </w:numPr>
        <w:ind w:right="720" w:hanging="615"/>
        <w:jc w:val="both"/>
        <w:rPr>
          <w:lang w:val="fr-CA"/>
        </w:rPr>
      </w:pPr>
      <w:r w:rsidRPr="003A5D85">
        <w:rPr>
          <w:lang w:val="fr-CA"/>
        </w:rPr>
        <w:t>Nombre de pays qui se trouvent dans le quadrant rose du SAR</w:t>
      </w:r>
      <w:r w:rsidRPr="003A5D85">
        <w:rPr>
          <w:rStyle w:val="FootnoteReference"/>
          <w:vertAlign w:val="superscript"/>
          <w:lang w:val="fr-CA"/>
        </w:rPr>
        <w:footnoteReference w:id="3"/>
      </w:r>
      <w:r w:rsidRPr="003A5D85">
        <w:rPr>
          <w:lang w:val="fr-CA"/>
        </w:rPr>
        <w:t>(25%).</w:t>
      </w:r>
    </w:p>
    <w:p w:rsidR="001D71AD" w:rsidRPr="003A5D85" w:rsidRDefault="001D71AD" w:rsidP="00465EE5">
      <w:pPr>
        <w:ind w:left="1080" w:right="720"/>
        <w:jc w:val="both"/>
        <w:rPr>
          <w:lang w:val="fr-CA"/>
        </w:rPr>
      </w:pPr>
    </w:p>
    <w:p w:rsidR="001D71AD" w:rsidRPr="00087B89" w:rsidRDefault="001D71AD" w:rsidP="00BB13A1">
      <w:pPr>
        <w:numPr>
          <w:ilvl w:val="0"/>
          <w:numId w:val="4"/>
        </w:numPr>
        <w:ind w:left="1080" w:right="720" w:firstLine="0"/>
        <w:jc w:val="both"/>
        <w:rPr>
          <w:lang w:val="fr-FR"/>
        </w:rPr>
      </w:pPr>
      <w:r w:rsidRPr="007119C7">
        <w:rPr>
          <w:lang w:val="fr-FR"/>
        </w:rPr>
        <w:t>Pour les unités du siège, les dotations initiales seront faites sur la base des données historiques correspon</w:t>
      </w:r>
      <w:r>
        <w:rPr>
          <w:lang w:val="fr-FR"/>
        </w:rPr>
        <w:t>d</w:t>
      </w:r>
      <w:r w:rsidRPr="007119C7">
        <w:rPr>
          <w:lang w:val="fr-FR"/>
        </w:rPr>
        <w:t xml:space="preserve">ant aux dépenses et </w:t>
      </w:r>
      <w:r>
        <w:rPr>
          <w:lang w:val="fr-FR"/>
        </w:rPr>
        <w:t>sur celle d</w:t>
      </w:r>
      <w:r w:rsidRPr="007119C7">
        <w:rPr>
          <w:lang w:val="fr-FR"/>
        </w:rPr>
        <w:t xml:space="preserve">es besoins et </w:t>
      </w:r>
      <w:r>
        <w:rPr>
          <w:lang w:val="fr-FR"/>
        </w:rPr>
        <w:t>d</w:t>
      </w:r>
      <w:r w:rsidRPr="007119C7">
        <w:rPr>
          <w:lang w:val="fr-FR"/>
        </w:rPr>
        <w:t>es opportunit</w:t>
      </w:r>
      <w:r>
        <w:rPr>
          <w:lang w:val="fr-FR"/>
        </w:rPr>
        <w:t xml:space="preserve">és de contribuer aux résultats identifiés dans le Cadre de résultats intégrés (CRI) selon les plans d’action détaillés présentés par chaque unité. </w:t>
      </w:r>
    </w:p>
    <w:p w:rsidR="001D71AD" w:rsidRPr="00087B89" w:rsidRDefault="001D71AD" w:rsidP="00611D51">
      <w:pPr>
        <w:ind w:left="1080" w:right="720"/>
        <w:jc w:val="both"/>
        <w:rPr>
          <w:lang w:val="fr-FR"/>
        </w:rPr>
      </w:pPr>
    </w:p>
    <w:p w:rsidR="001D71AD" w:rsidRPr="0061614E" w:rsidRDefault="001D71AD" w:rsidP="00BB13A1">
      <w:pPr>
        <w:pStyle w:val="Heading3"/>
        <w:numPr>
          <w:ilvl w:val="0"/>
          <w:numId w:val="20"/>
        </w:numPr>
        <w:ind w:left="1440"/>
      </w:pPr>
      <w:r w:rsidRPr="0061614E">
        <w:t>Process</w:t>
      </w:r>
      <w:r>
        <w:t>us</w:t>
      </w:r>
    </w:p>
    <w:p w:rsidR="001D71AD" w:rsidRDefault="001D71AD" w:rsidP="00611D51">
      <w:pPr>
        <w:ind w:left="1080" w:right="720"/>
        <w:jc w:val="both"/>
      </w:pPr>
    </w:p>
    <w:p w:rsidR="001D71AD" w:rsidRPr="00B90820" w:rsidRDefault="001D71AD" w:rsidP="00BB13A1">
      <w:pPr>
        <w:numPr>
          <w:ilvl w:val="0"/>
          <w:numId w:val="4"/>
        </w:numPr>
        <w:ind w:left="1080" w:right="720" w:firstLine="0"/>
        <w:jc w:val="both"/>
        <w:rPr>
          <w:lang w:val="fr-FR"/>
        </w:rPr>
      </w:pPr>
      <w:r w:rsidRPr="00B90820">
        <w:rPr>
          <w:lang w:val="fr-FR"/>
        </w:rPr>
        <w:t xml:space="preserve">L’attribution de ressources aux interventions mondiales et régionales au sein des paramètres définis ci-dessus est un processus simple tirant parti d’un mécanisme existant d’examen par les pairs géré par le Secrétariat du comité d’examen du programme (CEP), hébergé par la division des programmes (DP) et impliquant la Division des Services de gestion (DSG) et le </w:t>
      </w:r>
      <w:r>
        <w:rPr>
          <w:lang w:val="fr-FR"/>
        </w:rPr>
        <w:t xml:space="preserve">CEP lui-même (qui est composé des membres du comité exécutif [CE] plus de trois représentants de pays sélectionnés d’après la qualité des Documents du programme du pays) selon le schéma ci-dessous, </w:t>
      </w:r>
    </w:p>
    <w:p w:rsidR="001D71AD" w:rsidRDefault="00675BF5" w:rsidP="00DE2060">
      <w:pPr>
        <w:ind w:left="1080"/>
      </w:pPr>
      <w:r>
        <w:rPr>
          <w:noProof/>
          <w:lang w:val="en-US"/>
        </w:rPr>
        <w:drawing>
          <wp:inline distT="0" distB="0" distL="0" distR="0">
            <wp:extent cx="4762500" cy="1838325"/>
            <wp:effectExtent l="0" t="0" r="0" b="952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838325"/>
                    </a:xfrm>
                    <a:prstGeom prst="rect">
                      <a:avLst/>
                    </a:prstGeom>
                    <a:noFill/>
                    <a:ln>
                      <a:noFill/>
                    </a:ln>
                  </pic:spPr>
                </pic:pic>
              </a:graphicData>
            </a:graphic>
          </wp:inline>
        </w:drawing>
      </w:r>
    </w:p>
    <w:p w:rsidR="001D71AD" w:rsidRPr="002C7BD5" w:rsidRDefault="001D71AD" w:rsidP="00DE2060">
      <w:pPr>
        <w:ind w:left="1080"/>
        <w:rPr>
          <w:rFonts w:ascii="Arial" w:hAnsi="Arial" w:cs="Arial"/>
          <w:sz w:val="28"/>
          <w:szCs w:val="28"/>
          <w:lang w:val="fr-FR"/>
        </w:rPr>
      </w:pPr>
      <w:r w:rsidRPr="002C7BD5">
        <w:rPr>
          <w:rFonts w:ascii="Arial" w:hAnsi="Arial" w:cs="Arial"/>
          <w:sz w:val="28"/>
          <w:szCs w:val="28"/>
          <w:lang w:val="fr-FR"/>
        </w:rPr>
        <w:t>Étape 1</w:t>
      </w:r>
      <w:r w:rsidRPr="002C7BD5">
        <w:rPr>
          <w:rFonts w:ascii="Arial" w:hAnsi="Arial" w:cs="Arial"/>
          <w:sz w:val="28"/>
          <w:szCs w:val="28"/>
          <w:lang w:val="fr-FR"/>
        </w:rPr>
        <w:tab/>
      </w:r>
      <w:r w:rsidRPr="002C7BD5">
        <w:rPr>
          <w:rFonts w:ascii="Arial" w:hAnsi="Arial" w:cs="Arial"/>
          <w:sz w:val="28"/>
          <w:szCs w:val="28"/>
          <w:lang w:val="fr-FR"/>
        </w:rPr>
        <w:tab/>
        <w:t>Étape 2</w:t>
      </w:r>
      <w:r w:rsidRPr="002C7BD5">
        <w:rPr>
          <w:rFonts w:ascii="Arial" w:hAnsi="Arial" w:cs="Arial"/>
          <w:sz w:val="28"/>
          <w:szCs w:val="28"/>
          <w:lang w:val="fr-FR"/>
        </w:rPr>
        <w:tab/>
        <w:t>Étape 3</w:t>
      </w:r>
      <w:r w:rsidRPr="002C7BD5">
        <w:rPr>
          <w:rFonts w:ascii="Arial" w:hAnsi="Arial" w:cs="Arial"/>
          <w:sz w:val="28"/>
          <w:szCs w:val="28"/>
          <w:lang w:val="fr-FR"/>
        </w:rPr>
        <w:tab/>
        <w:t>Étape 4</w:t>
      </w:r>
      <w:r w:rsidRPr="002C7BD5">
        <w:rPr>
          <w:rFonts w:ascii="Arial" w:hAnsi="Arial" w:cs="Arial"/>
          <w:sz w:val="28"/>
          <w:szCs w:val="28"/>
          <w:lang w:val="fr-FR"/>
        </w:rPr>
        <w:tab/>
        <w:t>Étape 5</w:t>
      </w:r>
    </w:p>
    <w:p w:rsidR="001D71AD" w:rsidRPr="002C7BD5" w:rsidRDefault="001D71AD" w:rsidP="00DE2060">
      <w:pPr>
        <w:ind w:left="1080"/>
        <w:rPr>
          <w:rFonts w:ascii="Arial" w:hAnsi="Arial" w:cs="Arial"/>
          <w:lang w:val="fr-FR"/>
        </w:rPr>
      </w:pPr>
    </w:p>
    <w:p w:rsidR="001D71AD" w:rsidRDefault="001D71AD" w:rsidP="00DE2060">
      <w:pPr>
        <w:ind w:left="1080"/>
        <w:rPr>
          <w:lang w:val="fr-FR"/>
        </w:rPr>
      </w:pPr>
      <w:r>
        <w:rPr>
          <w:lang w:val="fr-FR"/>
        </w:rPr>
        <w:t>La DSG fait</w:t>
      </w:r>
      <w:r>
        <w:rPr>
          <w:lang w:val="fr-FR"/>
        </w:rPr>
        <w:tab/>
      </w:r>
      <w:r>
        <w:rPr>
          <w:lang w:val="fr-FR"/>
        </w:rPr>
        <w:tab/>
        <w:t>La DP élabore</w:t>
      </w:r>
      <w:r>
        <w:rPr>
          <w:lang w:val="fr-FR"/>
        </w:rPr>
        <w:tab/>
        <w:t xml:space="preserve">Les unités </w:t>
      </w:r>
      <w:r>
        <w:rPr>
          <w:lang w:val="fr-FR"/>
        </w:rPr>
        <w:tab/>
      </w:r>
      <w:r>
        <w:rPr>
          <w:lang w:val="fr-FR"/>
        </w:rPr>
        <w:tab/>
        <w:t>Le Secrétariat</w:t>
      </w:r>
      <w:r>
        <w:rPr>
          <w:lang w:val="fr-FR"/>
        </w:rPr>
        <w:tab/>
      </w:r>
      <w:r>
        <w:rPr>
          <w:lang w:val="fr-FR"/>
        </w:rPr>
        <w:tab/>
        <w:t>Le CEP/EC pèse</w:t>
      </w:r>
    </w:p>
    <w:p w:rsidR="001D71AD" w:rsidRDefault="001D71AD" w:rsidP="00A74B25">
      <w:pPr>
        <w:ind w:left="1080"/>
        <w:rPr>
          <w:lang w:val="fr-FR"/>
        </w:rPr>
      </w:pPr>
      <w:r>
        <w:rPr>
          <w:lang w:val="fr-FR"/>
        </w:rPr>
        <w:t>rapportsur la</w:t>
      </w:r>
      <w:r>
        <w:rPr>
          <w:lang w:val="fr-FR"/>
        </w:rPr>
        <w:tab/>
      </w:r>
      <w:r>
        <w:rPr>
          <w:lang w:val="fr-FR"/>
        </w:rPr>
        <w:tab/>
        <w:t>périodiquement</w:t>
      </w:r>
      <w:r>
        <w:rPr>
          <w:lang w:val="fr-FR"/>
        </w:rPr>
        <w:tab/>
        <w:t>régions et siège</w:t>
      </w:r>
      <w:r>
        <w:rPr>
          <w:lang w:val="fr-FR"/>
        </w:rPr>
        <w:tab/>
        <w:t>du CEP organise</w:t>
      </w:r>
      <w:r>
        <w:rPr>
          <w:lang w:val="fr-FR"/>
        </w:rPr>
        <w:tab/>
      </w:r>
      <w:r>
        <w:rPr>
          <w:lang w:val="fr-FR"/>
        </w:rPr>
        <w:tab/>
        <w:t xml:space="preserve">les plans d’action </w:t>
      </w:r>
    </w:p>
    <w:p w:rsidR="001D71AD" w:rsidRDefault="001D71AD" w:rsidP="00DE2060">
      <w:pPr>
        <w:ind w:left="1080"/>
        <w:rPr>
          <w:lang w:val="fr-FR"/>
        </w:rPr>
      </w:pPr>
      <w:r>
        <w:rPr>
          <w:lang w:val="fr-FR"/>
        </w:rPr>
        <w:t>mise en œuvre</w:t>
      </w:r>
      <w:r>
        <w:rPr>
          <w:lang w:val="fr-FR"/>
        </w:rPr>
        <w:tab/>
      </w:r>
      <w:r>
        <w:rPr>
          <w:lang w:val="fr-FR"/>
        </w:rPr>
        <w:tab/>
        <w:t>des consignes</w:t>
      </w:r>
      <w:r>
        <w:rPr>
          <w:lang w:val="fr-FR"/>
        </w:rPr>
        <w:tab/>
        <w:t>présentent des</w:t>
      </w:r>
      <w:r>
        <w:rPr>
          <w:lang w:val="fr-FR"/>
        </w:rPr>
        <w:tab/>
        <w:t>un examen des</w:t>
      </w:r>
      <w:r>
        <w:rPr>
          <w:lang w:val="fr-FR"/>
        </w:rPr>
        <w:tab/>
      </w:r>
      <w:r>
        <w:rPr>
          <w:lang w:val="fr-FR"/>
        </w:rPr>
        <w:tab/>
        <w:t>dans le contexte de</w:t>
      </w:r>
    </w:p>
    <w:p w:rsidR="001D71AD" w:rsidRDefault="001D71AD" w:rsidP="00DE2060">
      <w:pPr>
        <w:ind w:left="1080"/>
        <w:rPr>
          <w:lang w:val="fr-FR"/>
        </w:rPr>
      </w:pPr>
      <w:r>
        <w:rPr>
          <w:lang w:val="fr-FR"/>
        </w:rPr>
        <w:t xml:space="preserve">des ressources </w:t>
      </w:r>
      <w:r>
        <w:rPr>
          <w:lang w:val="fr-FR"/>
        </w:rPr>
        <w:tab/>
      </w:r>
      <w:r>
        <w:rPr>
          <w:lang w:val="fr-FR"/>
        </w:rPr>
        <w:tab/>
        <w:t>et lance des</w:t>
      </w:r>
      <w:r>
        <w:rPr>
          <w:lang w:val="fr-FR"/>
        </w:rPr>
        <w:tab/>
      </w:r>
      <w:r>
        <w:rPr>
          <w:lang w:val="fr-FR"/>
        </w:rPr>
        <w:tab/>
        <w:t xml:space="preserve">propositions </w:t>
      </w:r>
      <w:r>
        <w:rPr>
          <w:lang w:val="fr-FR"/>
        </w:rPr>
        <w:tab/>
        <w:t xml:space="preserve">plans d’action </w:t>
      </w:r>
      <w:r>
        <w:rPr>
          <w:lang w:val="fr-FR"/>
        </w:rPr>
        <w:tab/>
      </w:r>
      <w:r>
        <w:rPr>
          <w:lang w:val="fr-FR"/>
        </w:rPr>
        <w:tab/>
        <w:t xml:space="preserve">la totalité de la </w:t>
      </w:r>
    </w:p>
    <w:p w:rsidR="001D71AD" w:rsidRDefault="001D71AD" w:rsidP="00DE2060">
      <w:pPr>
        <w:ind w:left="1080"/>
        <w:rPr>
          <w:lang w:val="fr-FR"/>
        </w:rPr>
      </w:pPr>
      <w:r>
        <w:rPr>
          <w:lang w:val="fr-FR"/>
        </w:rPr>
        <w:t xml:space="preserve">et la disponibilité </w:t>
      </w:r>
      <w:r>
        <w:rPr>
          <w:lang w:val="fr-FR"/>
        </w:rPr>
        <w:tab/>
        <w:t>appels de</w:t>
      </w:r>
      <w:r>
        <w:rPr>
          <w:lang w:val="fr-FR"/>
        </w:rPr>
        <w:tab/>
      </w:r>
      <w:r>
        <w:rPr>
          <w:lang w:val="fr-FR"/>
        </w:rPr>
        <w:tab/>
        <w:t xml:space="preserve">de plan d’action </w:t>
      </w:r>
      <w:r>
        <w:rPr>
          <w:lang w:val="fr-FR"/>
        </w:rPr>
        <w:tab/>
        <w:t xml:space="preserve">selon les principes, </w:t>
      </w:r>
      <w:r>
        <w:rPr>
          <w:lang w:val="fr-FR"/>
        </w:rPr>
        <w:tab/>
        <w:t xml:space="preserve">programmation </w:t>
      </w:r>
    </w:p>
    <w:p w:rsidR="001D71AD" w:rsidRDefault="001D71AD" w:rsidP="00DE2060">
      <w:pPr>
        <w:ind w:left="1080"/>
        <w:rPr>
          <w:lang w:val="fr-FR"/>
        </w:rPr>
      </w:pPr>
      <w:r>
        <w:rPr>
          <w:lang w:val="fr-FR"/>
        </w:rPr>
        <w:lastRenderedPageBreak/>
        <w:t xml:space="preserve">d’après les </w:t>
      </w:r>
      <w:r>
        <w:rPr>
          <w:lang w:val="fr-FR"/>
        </w:rPr>
        <w:tab/>
      </w:r>
      <w:r>
        <w:rPr>
          <w:lang w:val="fr-FR"/>
        </w:rPr>
        <w:tab/>
        <w:t>proposition</w:t>
      </w:r>
      <w:r>
        <w:rPr>
          <w:lang w:val="fr-FR"/>
        </w:rPr>
        <w:tab/>
      </w:r>
      <w:r>
        <w:rPr>
          <w:lang w:val="fr-FR"/>
        </w:rPr>
        <w:tab/>
        <w:t>au Secrétariat</w:t>
      </w:r>
      <w:r>
        <w:rPr>
          <w:lang w:val="fr-FR"/>
        </w:rPr>
        <w:tab/>
        <w:t xml:space="preserve">les paramètres </w:t>
      </w:r>
      <w:r>
        <w:rPr>
          <w:lang w:val="fr-FR"/>
        </w:rPr>
        <w:tab/>
      </w:r>
      <w:r>
        <w:rPr>
          <w:lang w:val="fr-FR"/>
        </w:rPr>
        <w:tab/>
        <w:t xml:space="preserve">des ressources </w:t>
      </w:r>
    </w:p>
    <w:p w:rsidR="001D71AD" w:rsidRDefault="001D71AD" w:rsidP="0079046C">
      <w:pPr>
        <w:ind w:left="5355" w:firstLine="345"/>
        <w:rPr>
          <w:lang w:val="fr-FR"/>
        </w:rPr>
      </w:pPr>
      <w:r>
        <w:rPr>
          <w:lang w:val="fr-FR"/>
        </w:rPr>
        <w:t>et les critères</w:t>
      </w:r>
      <w:r>
        <w:rPr>
          <w:lang w:val="fr-FR"/>
        </w:rPr>
        <w:tab/>
      </w:r>
      <w:r>
        <w:rPr>
          <w:lang w:val="fr-FR"/>
        </w:rPr>
        <w:tab/>
        <w:t xml:space="preserve">de base du plan </w:t>
      </w:r>
    </w:p>
    <w:p w:rsidR="001D71AD" w:rsidRDefault="001D71AD" w:rsidP="00DE2060">
      <w:pPr>
        <w:ind w:left="1080"/>
        <w:rPr>
          <w:lang w:val="fr-FR"/>
        </w:rPr>
      </w:pPr>
      <w:r>
        <w:rPr>
          <w:lang w:val="fr-FR"/>
        </w:rPr>
        <w:t>paramètres</w:t>
      </w:r>
      <w:r>
        <w:rPr>
          <w:lang w:val="fr-FR"/>
        </w:rPr>
        <w:tab/>
      </w:r>
      <w:r>
        <w:rPr>
          <w:lang w:val="fr-FR"/>
        </w:rPr>
        <w:tab/>
      </w:r>
      <w:r>
        <w:rPr>
          <w:lang w:val="fr-FR"/>
        </w:rPr>
        <w:tab/>
      </w:r>
      <w:r>
        <w:rPr>
          <w:lang w:val="fr-FR"/>
        </w:rPr>
        <w:tab/>
      </w:r>
      <w:r>
        <w:rPr>
          <w:lang w:val="fr-FR"/>
        </w:rPr>
        <w:tab/>
        <w:t>du CEP</w:t>
      </w:r>
      <w:r>
        <w:rPr>
          <w:lang w:val="fr-FR"/>
        </w:rPr>
        <w:tab/>
      </w:r>
      <w:r>
        <w:rPr>
          <w:lang w:val="fr-FR"/>
        </w:rPr>
        <w:tab/>
        <w:t>établis et présente</w:t>
      </w:r>
      <w:r>
        <w:rPr>
          <w:lang w:val="fr-FR"/>
        </w:rPr>
        <w:tab/>
        <w:t>stratégique 2014-</w:t>
      </w:r>
    </w:p>
    <w:p w:rsidR="001D71AD" w:rsidRDefault="001D71AD" w:rsidP="00DE2060">
      <w:pPr>
        <w:ind w:left="1080"/>
        <w:rPr>
          <w:lang w:val="fr-FR"/>
        </w:rPr>
      </w:pPr>
      <w:r>
        <w:rPr>
          <w:lang w:val="fr-FR"/>
        </w:rPr>
        <w:t>approuvéspar le CA</w:t>
      </w:r>
      <w:r>
        <w:rPr>
          <w:lang w:val="fr-FR"/>
        </w:rPr>
        <w:tab/>
      </w:r>
      <w:r>
        <w:rPr>
          <w:lang w:val="fr-FR"/>
        </w:rPr>
        <w:tab/>
      </w:r>
      <w:r>
        <w:rPr>
          <w:lang w:val="fr-FR"/>
        </w:rPr>
        <w:tab/>
      </w:r>
      <w:r>
        <w:rPr>
          <w:lang w:val="fr-FR"/>
        </w:rPr>
        <w:tab/>
      </w:r>
      <w:r>
        <w:rPr>
          <w:lang w:val="fr-FR"/>
        </w:rPr>
        <w:tab/>
      </w:r>
      <w:r>
        <w:rPr>
          <w:lang w:val="fr-FR"/>
        </w:rPr>
        <w:tab/>
      </w:r>
      <w:r>
        <w:rPr>
          <w:lang w:val="fr-FR"/>
        </w:rPr>
        <w:tab/>
        <w:t>les résultats</w:t>
      </w:r>
      <w:r>
        <w:rPr>
          <w:lang w:val="fr-FR"/>
        </w:rPr>
        <w:tab/>
      </w:r>
      <w:r>
        <w:rPr>
          <w:lang w:val="fr-FR"/>
        </w:rPr>
        <w:tab/>
      </w:r>
      <w:r>
        <w:rPr>
          <w:lang w:val="fr-FR"/>
        </w:rPr>
        <w:tab/>
        <w:t>2017 et prend</w:t>
      </w:r>
    </w:p>
    <w:p w:rsidR="001D71AD" w:rsidRDefault="001D71AD" w:rsidP="00A862E3">
      <w:pPr>
        <w:ind w:left="5700" w:hanging="4620"/>
        <w:rPr>
          <w:lang w:val="fr-FR"/>
        </w:rPr>
      </w:pPr>
      <w:r>
        <w:rPr>
          <w:lang w:val="fr-FR"/>
        </w:rPr>
        <w:t>et les revenus de l’UNFPA</w:t>
      </w:r>
      <w:r>
        <w:rPr>
          <w:lang w:val="fr-FR"/>
        </w:rPr>
        <w:tab/>
        <w:t>au CEP/CE</w:t>
      </w:r>
      <w:r>
        <w:rPr>
          <w:lang w:val="fr-FR"/>
        </w:rPr>
        <w:tab/>
      </w:r>
      <w:r>
        <w:rPr>
          <w:lang w:val="fr-FR"/>
        </w:rPr>
        <w:tab/>
      </w:r>
      <w:r>
        <w:rPr>
          <w:lang w:val="fr-FR"/>
        </w:rPr>
        <w:tab/>
        <w:t xml:space="preserve">les décisions </w:t>
      </w:r>
    </w:p>
    <w:p w:rsidR="001D71AD" w:rsidRDefault="001D71AD" w:rsidP="00A862E3">
      <w:pPr>
        <w:ind w:left="7600" w:firstLine="5"/>
        <w:rPr>
          <w:lang w:val="fr-FR"/>
        </w:rPr>
      </w:pPr>
      <w:r>
        <w:rPr>
          <w:lang w:val="fr-FR"/>
        </w:rPr>
        <w:t>définitives concernant le financement</w:t>
      </w:r>
    </w:p>
    <w:p w:rsidR="001D71AD" w:rsidRPr="00B44491" w:rsidRDefault="001D71AD" w:rsidP="00A862E3">
      <w:pPr>
        <w:ind w:left="7600" w:firstLine="5"/>
        <w:rPr>
          <w:lang w:val="fr-FR"/>
        </w:rPr>
      </w:pPr>
    </w:p>
    <w:p w:rsidR="001D71AD" w:rsidRPr="00625282" w:rsidRDefault="001D71AD" w:rsidP="00BB13A1">
      <w:pPr>
        <w:numPr>
          <w:ilvl w:val="0"/>
          <w:numId w:val="4"/>
        </w:numPr>
        <w:ind w:left="1080" w:right="720" w:firstLine="0"/>
        <w:jc w:val="both"/>
        <w:rPr>
          <w:lang w:val="fr-FR"/>
        </w:rPr>
      </w:pPr>
      <w:r w:rsidRPr="00C260E1">
        <w:rPr>
          <w:lang w:val="fr-FR"/>
        </w:rPr>
        <w:t>Le mécanisme d’examen par les pairs géré par le secrétariat du CEP est un mécanisme éprouvé et crédible d’assurance de la qualité qui a contribué à améliorer considérablement la qualité des documents des programmes de pays de l’UNFPA. Une équipe de deux évaluateurs pairs est tirée au sort à partir d’une liste de volontaires à laquelle tout le personnel de haut niveau de l’UNFPA aux niveaux régional, sous-régional et siège a été invité à s’inscrire. Les évaluateurs évaluent les aspects programmatiques et les aspects financiers de chaque proposition et leurs observations sont remises aux BR et aux unités du siège pour amélioration du plan d’action. Comme l’indique le schéma ci-dessus, le CEP</w:t>
      </w:r>
      <w:r>
        <w:rPr>
          <w:lang w:val="fr-FR"/>
        </w:rPr>
        <w:t>/CE</w:t>
      </w:r>
      <w:r w:rsidRPr="00C260E1">
        <w:rPr>
          <w:lang w:val="fr-FR"/>
        </w:rPr>
        <w:t xml:space="preserve"> prend en compte les remarques et les recommandations des évaluateurs pairs et prend des d</w:t>
      </w:r>
      <w:r>
        <w:rPr>
          <w:lang w:val="fr-FR"/>
        </w:rPr>
        <w:t>é</w:t>
      </w:r>
      <w:r w:rsidRPr="00C260E1">
        <w:rPr>
          <w:lang w:val="fr-FR"/>
        </w:rPr>
        <w:t xml:space="preserve">cisions </w:t>
      </w:r>
      <w:r>
        <w:rPr>
          <w:lang w:val="fr-FR"/>
        </w:rPr>
        <w:t>dé</w:t>
      </w:r>
      <w:r w:rsidRPr="00C260E1">
        <w:rPr>
          <w:lang w:val="fr-FR"/>
        </w:rPr>
        <w:t>finitive</w:t>
      </w:r>
      <w:r>
        <w:rPr>
          <w:lang w:val="fr-FR"/>
        </w:rPr>
        <w:t xml:space="preserve">s de financement sur les plans d’action proposés. </w:t>
      </w:r>
    </w:p>
    <w:p w:rsidR="001D71AD" w:rsidRPr="00625282" w:rsidRDefault="001D71AD" w:rsidP="00611D51">
      <w:pPr>
        <w:ind w:left="1080" w:right="720"/>
        <w:jc w:val="both"/>
        <w:rPr>
          <w:lang w:val="fr-FR"/>
        </w:rPr>
      </w:pPr>
    </w:p>
    <w:p w:rsidR="001D71AD" w:rsidRPr="0061614E" w:rsidRDefault="001D71AD" w:rsidP="00BB13A1">
      <w:pPr>
        <w:pStyle w:val="Heading3"/>
        <w:numPr>
          <w:ilvl w:val="0"/>
          <w:numId w:val="20"/>
        </w:numPr>
        <w:ind w:left="1440"/>
      </w:pPr>
      <w:r w:rsidRPr="0061614E">
        <w:t>Crit</w:t>
      </w:r>
      <w:r>
        <w:t>ères</w:t>
      </w:r>
    </w:p>
    <w:p w:rsidR="001D71AD" w:rsidRPr="00C260E1" w:rsidRDefault="001D71AD" w:rsidP="00BB13A1">
      <w:pPr>
        <w:numPr>
          <w:ilvl w:val="0"/>
          <w:numId w:val="4"/>
        </w:numPr>
        <w:ind w:left="1080" w:right="720" w:firstLine="0"/>
        <w:jc w:val="both"/>
        <w:rPr>
          <w:lang w:val="fr-FR"/>
        </w:rPr>
      </w:pPr>
      <w:r w:rsidRPr="00C260E1">
        <w:rPr>
          <w:lang w:val="fr-FR"/>
        </w:rPr>
        <w:t>Les propositions de plan d’action doivent d</w:t>
      </w:r>
      <w:r>
        <w:rPr>
          <w:lang w:val="fr-FR"/>
        </w:rPr>
        <w:t xml:space="preserve">étailler </w:t>
      </w:r>
      <w:r w:rsidRPr="00C260E1">
        <w:rPr>
          <w:lang w:val="fr-FR"/>
        </w:rPr>
        <w:t>:</w:t>
      </w:r>
    </w:p>
    <w:p w:rsidR="001D71AD" w:rsidRPr="00C260E1" w:rsidRDefault="001D71AD" w:rsidP="00BB13A1">
      <w:pPr>
        <w:numPr>
          <w:ilvl w:val="0"/>
          <w:numId w:val="28"/>
        </w:numPr>
        <w:ind w:right="720" w:hanging="1080"/>
        <w:jc w:val="both"/>
        <w:rPr>
          <w:lang w:val="fr-FR"/>
        </w:rPr>
      </w:pPr>
      <w:r w:rsidRPr="00C260E1">
        <w:rPr>
          <w:lang w:val="fr-FR"/>
        </w:rPr>
        <w:t>Les produits d</w:t>
      </w:r>
      <w:r>
        <w:rPr>
          <w:lang w:val="fr-FR"/>
        </w:rPr>
        <w:t xml:space="preserve">u cadre </w:t>
      </w:r>
      <w:r w:rsidRPr="00C260E1">
        <w:rPr>
          <w:lang w:val="fr-FR"/>
        </w:rPr>
        <w:t>de résultats intégrés auxquels les activit</w:t>
      </w:r>
      <w:r>
        <w:rPr>
          <w:lang w:val="fr-FR"/>
        </w:rPr>
        <w:t xml:space="preserve">és contribuent </w:t>
      </w:r>
      <w:r w:rsidRPr="00C260E1">
        <w:rPr>
          <w:lang w:val="fr-FR"/>
        </w:rPr>
        <w:t>;</w:t>
      </w:r>
    </w:p>
    <w:p w:rsidR="001D71AD" w:rsidRPr="00C260E1" w:rsidRDefault="001D71AD" w:rsidP="00BB13A1">
      <w:pPr>
        <w:numPr>
          <w:ilvl w:val="0"/>
          <w:numId w:val="28"/>
        </w:numPr>
        <w:ind w:right="720" w:hanging="1080"/>
        <w:jc w:val="both"/>
        <w:rPr>
          <w:lang w:val="fr-FR"/>
        </w:rPr>
      </w:pPr>
      <w:r w:rsidRPr="00C260E1">
        <w:rPr>
          <w:lang w:val="fr-FR"/>
        </w:rPr>
        <w:t xml:space="preserve">Les indicateurs de produits y compris les </w:t>
      </w:r>
      <w:r>
        <w:rPr>
          <w:lang w:val="fr-FR"/>
        </w:rPr>
        <w:t xml:space="preserve">bases de référence et les cibles </w:t>
      </w:r>
      <w:r w:rsidRPr="00C260E1">
        <w:rPr>
          <w:lang w:val="fr-FR"/>
        </w:rPr>
        <w:t>;</w:t>
      </w:r>
    </w:p>
    <w:p w:rsidR="001D71AD" w:rsidRPr="00300953" w:rsidRDefault="001D71AD" w:rsidP="00BB13A1">
      <w:pPr>
        <w:numPr>
          <w:ilvl w:val="0"/>
          <w:numId w:val="28"/>
        </w:numPr>
        <w:ind w:right="720" w:hanging="1080"/>
        <w:jc w:val="both"/>
        <w:rPr>
          <w:lang w:val="fr-FR"/>
        </w:rPr>
      </w:pPr>
      <w:r w:rsidRPr="00300953">
        <w:rPr>
          <w:lang w:val="fr-FR"/>
        </w:rPr>
        <w:t>Une descri</w:t>
      </w:r>
      <w:r>
        <w:rPr>
          <w:lang w:val="fr-FR"/>
        </w:rPr>
        <w:t>p</w:t>
      </w:r>
      <w:r w:rsidRPr="00300953">
        <w:rPr>
          <w:lang w:val="fr-FR"/>
        </w:rPr>
        <w:t>tion des activités à entreprendre ;</w:t>
      </w:r>
    </w:p>
    <w:p w:rsidR="001D71AD" w:rsidRPr="000A5CC9" w:rsidRDefault="001D71AD" w:rsidP="00BB13A1">
      <w:pPr>
        <w:numPr>
          <w:ilvl w:val="0"/>
          <w:numId w:val="28"/>
        </w:numPr>
        <w:ind w:right="720" w:hanging="1080"/>
        <w:jc w:val="both"/>
      </w:pPr>
      <w:r>
        <w:rPr>
          <w:lang w:val="fr-FR"/>
        </w:rPr>
        <w:t xml:space="preserve">Les partenaires d’exécution </w:t>
      </w:r>
      <w:r>
        <w:t>et</w:t>
      </w:r>
    </w:p>
    <w:p w:rsidR="001D71AD" w:rsidRPr="00300953" w:rsidRDefault="001D71AD" w:rsidP="00BB13A1">
      <w:pPr>
        <w:numPr>
          <w:ilvl w:val="0"/>
          <w:numId w:val="28"/>
        </w:numPr>
        <w:ind w:right="720" w:hanging="1080"/>
        <w:jc w:val="both"/>
        <w:rPr>
          <w:lang w:val="fr-FR"/>
        </w:rPr>
      </w:pPr>
      <w:r w:rsidRPr="00300953">
        <w:rPr>
          <w:lang w:val="fr-FR"/>
        </w:rPr>
        <w:t>Les ressources nécessaires.</w:t>
      </w:r>
    </w:p>
    <w:p w:rsidR="001D71AD" w:rsidRPr="00300953" w:rsidRDefault="001D71AD" w:rsidP="00465EE5">
      <w:pPr>
        <w:ind w:left="1080" w:right="720"/>
        <w:jc w:val="both"/>
        <w:rPr>
          <w:lang w:val="fr-FR"/>
        </w:rPr>
      </w:pPr>
    </w:p>
    <w:p w:rsidR="001D71AD" w:rsidRPr="00300953" w:rsidRDefault="001D71AD" w:rsidP="00BB13A1">
      <w:pPr>
        <w:numPr>
          <w:ilvl w:val="0"/>
          <w:numId w:val="4"/>
        </w:numPr>
        <w:ind w:left="1080" w:right="720" w:firstLine="0"/>
        <w:jc w:val="both"/>
        <w:rPr>
          <w:lang w:val="fr-FR"/>
        </w:rPr>
      </w:pPr>
      <w:r w:rsidRPr="00300953">
        <w:rPr>
          <w:lang w:val="fr-FR"/>
        </w:rPr>
        <w:t>Les critères appliqués par les évaluateurs lorsqu’ils donnent</w:t>
      </w:r>
      <w:r>
        <w:rPr>
          <w:lang w:val="fr-FR"/>
        </w:rPr>
        <w:t xml:space="preserve"> leur avis s</w:t>
      </w:r>
      <w:r w:rsidRPr="00300953">
        <w:rPr>
          <w:lang w:val="fr-FR"/>
        </w:rPr>
        <w:t>ur un plan d</w:t>
      </w:r>
      <w:r>
        <w:rPr>
          <w:lang w:val="fr-FR"/>
        </w:rPr>
        <w:t xml:space="preserve">’action proposé sont les suivants </w:t>
      </w:r>
      <w:r w:rsidRPr="00300953">
        <w:rPr>
          <w:lang w:val="fr-FR"/>
        </w:rPr>
        <w:t>:</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5850"/>
      </w:tblGrid>
      <w:tr w:rsidR="001D71AD" w:rsidRPr="001111C4" w:rsidTr="001111C4">
        <w:trPr>
          <w:cantSplit/>
        </w:trPr>
        <w:tc>
          <w:tcPr>
            <w:tcW w:w="1440" w:type="dxa"/>
            <w:vAlign w:val="center"/>
          </w:tcPr>
          <w:p w:rsidR="001D71AD" w:rsidRPr="003A5D85" w:rsidRDefault="001D71AD" w:rsidP="00300953">
            <w:pPr>
              <w:spacing w:line="276" w:lineRule="auto"/>
              <w:rPr>
                <w:b/>
                <w:sz w:val="18"/>
                <w:lang w:val="fr-CA"/>
              </w:rPr>
            </w:pPr>
            <w:r w:rsidRPr="003A5D85">
              <w:rPr>
                <w:b/>
                <w:sz w:val="18"/>
                <w:lang w:val="fr-CA"/>
              </w:rPr>
              <w:t>Dimensions del’examen</w:t>
            </w:r>
          </w:p>
        </w:tc>
        <w:tc>
          <w:tcPr>
            <w:tcW w:w="5850" w:type="dxa"/>
            <w:vAlign w:val="center"/>
          </w:tcPr>
          <w:p w:rsidR="001D71AD" w:rsidRPr="003A5D85" w:rsidRDefault="001D71AD" w:rsidP="00300953">
            <w:pPr>
              <w:spacing w:line="276" w:lineRule="auto"/>
              <w:rPr>
                <w:b/>
                <w:sz w:val="18"/>
                <w:lang w:val="fr-CA"/>
              </w:rPr>
            </w:pPr>
            <w:r w:rsidRPr="003A5D85">
              <w:rPr>
                <w:b/>
                <w:sz w:val="18"/>
                <w:lang w:val="fr-CA"/>
              </w:rPr>
              <w:t>Critères</w:t>
            </w:r>
          </w:p>
        </w:tc>
      </w:tr>
      <w:tr w:rsidR="001D71AD" w:rsidRPr="004923E9" w:rsidTr="001111C4">
        <w:trPr>
          <w:cantSplit/>
        </w:trPr>
        <w:tc>
          <w:tcPr>
            <w:tcW w:w="1440" w:type="dxa"/>
          </w:tcPr>
          <w:p w:rsidR="001D71AD" w:rsidRPr="003A5D85" w:rsidRDefault="001D71AD" w:rsidP="009A7522">
            <w:pPr>
              <w:spacing w:line="276" w:lineRule="auto"/>
              <w:rPr>
                <w:sz w:val="18"/>
                <w:lang w:val="fr-CA"/>
              </w:rPr>
            </w:pPr>
            <w:r w:rsidRPr="003A5D85">
              <w:rPr>
                <w:sz w:val="18"/>
                <w:lang w:val="fr-CA"/>
              </w:rPr>
              <w:t>Alignement stratégique</w:t>
            </w:r>
          </w:p>
        </w:tc>
        <w:tc>
          <w:tcPr>
            <w:tcW w:w="5850" w:type="dxa"/>
          </w:tcPr>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Alignement avec la direction stratégique de l’UNFPA </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Méthodes fondées sur les droits humains </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Liens/contribution au cadre de résultats intégrés </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Établissement de priorités et concentration sur</w:t>
            </w:r>
            <w:r>
              <w:rPr>
                <w:sz w:val="18"/>
                <w:lang w:val="fr-CA"/>
              </w:rPr>
              <w:t xml:space="preserve"> les</w:t>
            </w:r>
            <w:r w:rsidRPr="003A5D85">
              <w:rPr>
                <w:sz w:val="18"/>
                <w:lang w:val="fr-CA"/>
              </w:rPr>
              <w:t xml:space="preserve"> produits prioritaires </w:t>
            </w:r>
          </w:p>
        </w:tc>
      </w:tr>
      <w:tr w:rsidR="001D71AD" w:rsidRPr="004923E9" w:rsidTr="001111C4">
        <w:trPr>
          <w:cantSplit/>
        </w:trPr>
        <w:tc>
          <w:tcPr>
            <w:tcW w:w="1440" w:type="dxa"/>
          </w:tcPr>
          <w:p w:rsidR="001D71AD" w:rsidRPr="003A5D85" w:rsidRDefault="001D71AD" w:rsidP="000340BE">
            <w:pPr>
              <w:spacing w:line="276" w:lineRule="auto"/>
              <w:rPr>
                <w:sz w:val="18"/>
                <w:lang w:val="fr-CA"/>
              </w:rPr>
            </w:pPr>
            <w:r w:rsidRPr="003A5D85">
              <w:rPr>
                <w:sz w:val="18"/>
                <w:lang w:val="fr-CA"/>
              </w:rPr>
              <w:t xml:space="preserve">Gestion axée sur les résultats </w:t>
            </w:r>
          </w:p>
        </w:tc>
        <w:tc>
          <w:tcPr>
            <w:tcW w:w="5850" w:type="dxa"/>
          </w:tcPr>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Contributions claires /Liens entre produits et résultats</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Indicateurs de produits précis et mesurables avec références de base et cibles </w:t>
            </w:r>
          </w:p>
        </w:tc>
      </w:tr>
      <w:tr w:rsidR="001D71AD" w:rsidRPr="001111C4" w:rsidTr="001111C4">
        <w:trPr>
          <w:cantSplit/>
        </w:trPr>
        <w:tc>
          <w:tcPr>
            <w:tcW w:w="1440" w:type="dxa"/>
          </w:tcPr>
          <w:p w:rsidR="001D71AD" w:rsidRPr="003A5D85" w:rsidRDefault="001D71AD" w:rsidP="000340BE">
            <w:pPr>
              <w:spacing w:line="276" w:lineRule="auto"/>
              <w:rPr>
                <w:sz w:val="18"/>
                <w:lang w:val="fr-CA"/>
              </w:rPr>
            </w:pPr>
            <w:r w:rsidRPr="003A5D85">
              <w:rPr>
                <w:sz w:val="18"/>
                <w:lang w:val="fr-CA"/>
              </w:rPr>
              <w:t xml:space="preserve">Utilisation des faits et des enseignements tirés </w:t>
            </w:r>
          </w:p>
        </w:tc>
        <w:tc>
          <w:tcPr>
            <w:tcW w:w="5850" w:type="dxa"/>
          </w:tcPr>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Justification fondée sur des preuves de lacunes et de besoins. </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Utilisation des leçons tirées de la réalisation des PMR antérieurs</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Mécanismes de suivi définis</w:t>
            </w:r>
          </w:p>
        </w:tc>
      </w:tr>
      <w:tr w:rsidR="001D71AD" w:rsidRPr="001111C4" w:rsidTr="001111C4">
        <w:trPr>
          <w:cantSplit/>
        </w:trPr>
        <w:tc>
          <w:tcPr>
            <w:tcW w:w="1440" w:type="dxa"/>
          </w:tcPr>
          <w:p w:rsidR="001D71AD" w:rsidRPr="003A5D85" w:rsidRDefault="001D71AD" w:rsidP="003C23F8">
            <w:pPr>
              <w:spacing w:line="276" w:lineRule="auto"/>
              <w:rPr>
                <w:sz w:val="18"/>
                <w:lang w:val="fr-CA"/>
              </w:rPr>
            </w:pPr>
            <w:r w:rsidRPr="003A5D85">
              <w:rPr>
                <w:sz w:val="18"/>
                <w:lang w:val="fr-CA"/>
              </w:rPr>
              <w:t>Ressources financières/ Budget</w:t>
            </w:r>
          </w:p>
        </w:tc>
        <w:tc>
          <w:tcPr>
            <w:tcW w:w="5850" w:type="dxa"/>
          </w:tcPr>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 xml:space="preserve">Ressources adaptées aux résultats </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Coûts raisonnables</w:t>
            </w:r>
          </w:p>
          <w:p w:rsidR="001D71AD" w:rsidRPr="003A5D85" w:rsidRDefault="001D71AD" w:rsidP="00BB13A1">
            <w:pPr>
              <w:pStyle w:val="ListParagraph"/>
              <w:numPr>
                <w:ilvl w:val="0"/>
                <w:numId w:val="18"/>
              </w:numPr>
              <w:spacing w:line="240" w:lineRule="auto"/>
              <w:ind w:left="342"/>
              <w:rPr>
                <w:sz w:val="18"/>
                <w:lang w:val="fr-CA"/>
              </w:rPr>
            </w:pPr>
            <w:r w:rsidRPr="003A5D85">
              <w:rPr>
                <w:sz w:val="18"/>
                <w:lang w:val="fr-CA"/>
              </w:rPr>
              <w:t>Optimisation des ressources</w:t>
            </w:r>
          </w:p>
        </w:tc>
      </w:tr>
    </w:tbl>
    <w:p w:rsidR="001D71AD" w:rsidRDefault="001D71AD" w:rsidP="00465EE5"/>
    <w:p w:rsidR="001D71AD" w:rsidRPr="00087B89" w:rsidRDefault="001D71AD" w:rsidP="00BB13A1">
      <w:pPr>
        <w:numPr>
          <w:ilvl w:val="0"/>
          <w:numId w:val="4"/>
        </w:numPr>
        <w:ind w:left="1080" w:right="720" w:firstLine="0"/>
        <w:jc w:val="both"/>
        <w:rPr>
          <w:lang w:val="fr-FR"/>
        </w:rPr>
      </w:pPr>
      <w:r w:rsidRPr="00625282">
        <w:rPr>
          <w:lang w:val="fr-FR"/>
        </w:rPr>
        <w:t>Une liste détaillée des critères est disponible en ligne a</w:t>
      </w:r>
      <w:r>
        <w:rPr>
          <w:lang w:val="fr-FR"/>
        </w:rPr>
        <w:t>insi que les formulaires utilisé</w:t>
      </w:r>
      <w:r w:rsidRPr="00625282">
        <w:rPr>
          <w:lang w:val="fr-FR"/>
        </w:rPr>
        <w:t xml:space="preserve">s par les évaluateurs pour évaluer les propositions de plan d’action. </w:t>
      </w:r>
      <w:r w:rsidRPr="00087B89">
        <w:rPr>
          <w:lang w:val="fr-FR"/>
        </w:rPr>
        <w:t xml:space="preserve">L’UNFPA fait essentiellement porter ses efforts d’amélioration de la gestion et de la gouvernance des ressources de base destinées aux interventions mondiales et régionales sur la transparence et la régularité avec laquelle les critères ci-dessus sont appliqués à tous les dollars de financement, sans exception. </w:t>
      </w:r>
      <w:r w:rsidRPr="00087B89">
        <w:rPr>
          <w:lang w:val="fr-FR"/>
        </w:rPr>
        <w:lastRenderedPageBreak/>
        <w:t xml:space="preserve">Les résultats du premier tour d’examen par les pairs des propositions de plans d’action mondiaux et régionaux 2014-2017 présentées par chacun des BR et unités du siège ainsi que les propositions détaillées sont également disponibles en ligne à l’adresse indiquée ci-dessous. </w:t>
      </w:r>
    </w:p>
    <w:p w:rsidR="001D71AD" w:rsidRPr="00625282" w:rsidRDefault="001D71AD" w:rsidP="00A93117">
      <w:pPr>
        <w:pStyle w:val="Heading2"/>
        <w:numPr>
          <w:ilvl w:val="0"/>
          <w:numId w:val="0"/>
        </w:numPr>
        <w:ind w:left="720"/>
        <w:rPr>
          <w:lang w:val="fr-FR"/>
        </w:rPr>
      </w:pPr>
    </w:p>
    <w:p w:rsidR="001D71AD" w:rsidRPr="003A5D85" w:rsidRDefault="001D71AD" w:rsidP="0061614E">
      <w:pPr>
        <w:pStyle w:val="Heading2"/>
        <w:rPr>
          <w:lang w:val="fr-CA"/>
        </w:rPr>
      </w:pPr>
      <w:bookmarkStart w:id="7" w:name="_Toc363918447"/>
      <w:r w:rsidRPr="003A5D85">
        <w:rPr>
          <w:lang w:val="fr-CA"/>
        </w:rPr>
        <w:t>Obtention de résultats</w:t>
      </w:r>
      <w:bookmarkEnd w:id="7"/>
    </w:p>
    <w:p w:rsidR="001D71AD" w:rsidRPr="003A5D85" w:rsidRDefault="001D71AD" w:rsidP="00AD069E">
      <w:pPr>
        <w:pStyle w:val="Heading3"/>
        <w:numPr>
          <w:ilvl w:val="0"/>
          <w:numId w:val="0"/>
        </w:numPr>
        <w:ind w:left="1440"/>
        <w:rPr>
          <w:lang w:val="fr-CA"/>
        </w:rPr>
      </w:pPr>
    </w:p>
    <w:p w:rsidR="001D71AD" w:rsidRPr="0061614E" w:rsidRDefault="001D71AD" w:rsidP="00BB13A1">
      <w:pPr>
        <w:pStyle w:val="Heading3"/>
        <w:numPr>
          <w:ilvl w:val="0"/>
          <w:numId w:val="21"/>
        </w:numPr>
        <w:ind w:left="1440"/>
      </w:pPr>
      <w:r>
        <w:t>Surveillance et information</w:t>
      </w:r>
    </w:p>
    <w:p w:rsidR="001D71AD" w:rsidRDefault="001D71AD" w:rsidP="00AD069E">
      <w:pPr>
        <w:ind w:left="1080" w:right="720"/>
        <w:jc w:val="both"/>
      </w:pPr>
    </w:p>
    <w:p w:rsidR="001D71AD" w:rsidRPr="00444D86" w:rsidRDefault="001D71AD" w:rsidP="00BB13A1">
      <w:pPr>
        <w:numPr>
          <w:ilvl w:val="0"/>
          <w:numId w:val="4"/>
        </w:numPr>
        <w:ind w:left="1080" w:right="720" w:firstLine="0"/>
        <w:jc w:val="both"/>
        <w:rPr>
          <w:lang w:val="fr-FR"/>
        </w:rPr>
      </w:pPr>
      <w:r w:rsidRPr="00A93117">
        <w:rPr>
          <w:lang w:val="fr-FR"/>
        </w:rPr>
        <w:t>La gestion ax</w:t>
      </w:r>
      <w:r>
        <w:rPr>
          <w:lang w:val="fr-FR"/>
        </w:rPr>
        <w:t>é</w:t>
      </w:r>
      <w:r w:rsidRPr="00A93117">
        <w:rPr>
          <w:lang w:val="fr-FR"/>
        </w:rPr>
        <w:t xml:space="preserve">e sur les résultats nécessitel’établissement d’indicateurs de performance, de bases de </w:t>
      </w:r>
      <w:r>
        <w:rPr>
          <w:lang w:val="fr-FR"/>
        </w:rPr>
        <w:t>ré</w:t>
      </w:r>
      <w:r w:rsidRPr="00A93117">
        <w:rPr>
          <w:lang w:val="fr-FR"/>
        </w:rPr>
        <w:t>f</w:t>
      </w:r>
      <w:r>
        <w:rPr>
          <w:lang w:val="fr-FR"/>
        </w:rPr>
        <w:t>é</w:t>
      </w:r>
      <w:r w:rsidRPr="00A93117">
        <w:rPr>
          <w:lang w:val="fr-FR"/>
        </w:rPr>
        <w:t>rence et de cibles au début de chaque intervention car ell</w:t>
      </w:r>
      <w:r>
        <w:rPr>
          <w:lang w:val="fr-FR"/>
        </w:rPr>
        <w:t>e</w:t>
      </w:r>
      <w:r w:rsidRPr="00A93117">
        <w:rPr>
          <w:lang w:val="fr-FR"/>
        </w:rPr>
        <w:t xml:space="preserve">s constituent la base de suivi et d’information sur l’efficacité. </w:t>
      </w:r>
      <w:r w:rsidRPr="00444D86">
        <w:rPr>
          <w:lang w:val="fr-FR"/>
        </w:rPr>
        <w:t>Les indicateurs de produits des interventions mondiales et régionales sont un élément exigé des plans d’action mondiaux et r</w:t>
      </w:r>
      <w:r>
        <w:rPr>
          <w:lang w:val="fr-FR"/>
        </w:rPr>
        <w:t xml:space="preserve">égionaux et sont examinés dans le cadre du processus d’examen par les pairs. </w:t>
      </w:r>
      <w:r w:rsidRPr="00444D86">
        <w:rPr>
          <w:lang w:val="fr-FR"/>
        </w:rPr>
        <w:t>De même, les dispositifs de suivi des résultats mondiaux et r</w:t>
      </w:r>
      <w:r>
        <w:rPr>
          <w:lang w:val="fr-FR"/>
        </w:rPr>
        <w:t>égionaux doivent être indiqués dans le plan d’act</w:t>
      </w:r>
      <w:r w:rsidRPr="00444D86">
        <w:rPr>
          <w:lang w:val="fr-FR"/>
        </w:rPr>
        <w:t>ion.</w:t>
      </w:r>
    </w:p>
    <w:p w:rsidR="001D71AD" w:rsidRPr="00444D86" w:rsidRDefault="001D71AD" w:rsidP="001D18CB">
      <w:pPr>
        <w:ind w:left="1080" w:right="720"/>
        <w:jc w:val="both"/>
        <w:rPr>
          <w:lang w:val="fr-FR"/>
        </w:rPr>
      </w:pPr>
    </w:p>
    <w:p w:rsidR="001D71AD" w:rsidRPr="006616F1" w:rsidRDefault="001D71AD" w:rsidP="00BB13A1">
      <w:pPr>
        <w:numPr>
          <w:ilvl w:val="0"/>
          <w:numId w:val="4"/>
        </w:numPr>
        <w:ind w:left="1080" w:right="720" w:firstLine="0"/>
        <w:jc w:val="both"/>
        <w:rPr>
          <w:lang w:val="fr-FR"/>
        </w:rPr>
      </w:pPr>
      <w:r w:rsidRPr="00444D86">
        <w:rPr>
          <w:lang w:val="fr-FR"/>
        </w:rPr>
        <w:t xml:space="preserve">Il est important de souligner qu’il faudra </w:t>
      </w:r>
      <w:r>
        <w:rPr>
          <w:lang w:val="fr-FR"/>
        </w:rPr>
        <w:t xml:space="preserve">effectuer </w:t>
      </w:r>
      <w:r w:rsidRPr="00444D86">
        <w:rPr>
          <w:lang w:val="fr-FR"/>
        </w:rPr>
        <w:t xml:space="preserve">d’autres changements </w:t>
      </w:r>
      <w:r>
        <w:rPr>
          <w:lang w:val="fr-FR"/>
        </w:rPr>
        <w:t>à</w:t>
      </w:r>
      <w:r w:rsidRPr="00444D86">
        <w:rPr>
          <w:lang w:val="fr-FR"/>
        </w:rPr>
        <w:t xml:space="preserve"> la manière dont l’UNFPA surveille et commun</w:t>
      </w:r>
      <w:r>
        <w:rPr>
          <w:lang w:val="fr-FR"/>
        </w:rPr>
        <w:t>ique son efficience en tant qu’organisation et le SPM ne constitue qu’un pas dans cette direction. Dans le contexte d’élaboration d’un cadre unifié pour la planification des ressources et l’architecture de budgétisation, l’</w:t>
      </w:r>
      <w:r w:rsidRPr="006616F1">
        <w:rPr>
          <w:lang w:val="fr-FR"/>
        </w:rPr>
        <w:t xml:space="preserve">UNFPA doit aussi </w:t>
      </w:r>
      <w:r>
        <w:rPr>
          <w:lang w:val="fr-FR"/>
        </w:rPr>
        <w:t xml:space="preserve">établir des mécanismes permettant de surveiller et d’informer sur toutes ses activités institutionnelles d’une manière intégrée, notamment ses deux fonctions programmatique et non programmatique. </w:t>
      </w:r>
    </w:p>
    <w:p w:rsidR="001D71AD" w:rsidRPr="006616F1" w:rsidRDefault="001D71AD" w:rsidP="001D18CB">
      <w:pPr>
        <w:ind w:left="1080" w:right="720"/>
        <w:jc w:val="both"/>
        <w:rPr>
          <w:lang w:val="fr-FR"/>
        </w:rPr>
      </w:pPr>
    </w:p>
    <w:p w:rsidR="001D71AD" w:rsidRPr="00625282" w:rsidRDefault="001D71AD" w:rsidP="00BB13A1">
      <w:pPr>
        <w:numPr>
          <w:ilvl w:val="0"/>
          <w:numId w:val="4"/>
        </w:numPr>
        <w:ind w:left="1080" w:right="720" w:firstLine="0"/>
        <w:jc w:val="both"/>
        <w:rPr>
          <w:lang w:val="fr-FR"/>
        </w:rPr>
      </w:pPr>
      <w:r w:rsidRPr="00877403">
        <w:rPr>
          <w:lang w:val="fr-FR"/>
        </w:rPr>
        <w:t>Entre temps, les BR et les unités du siège communiqueront périodiquement au CE l</w:t>
      </w:r>
      <w:r>
        <w:rPr>
          <w:lang w:val="fr-FR"/>
        </w:rPr>
        <w:t xml:space="preserve">’avancement des travaux par rapport à leurs plans d’action approuvés concernant les interventions mondiales et régionales. </w:t>
      </w:r>
      <w:r w:rsidRPr="00877403">
        <w:rPr>
          <w:lang w:val="fr-FR"/>
        </w:rPr>
        <w:t xml:space="preserve">Dans la mesure du possible, ces rapports d’avancement </w:t>
      </w:r>
      <w:r>
        <w:rPr>
          <w:lang w:val="fr-FR"/>
        </w:rPr>
        <w:t xml:space="preserve">seront basés sur le système d’information existant de l’UNFPA. Ces rapports d’avancement seront complétés par un examen à mi-parcours des interventions mondiales et régionales dans le cadre de l’examen à mi-parcours du plan stratégique 2014-2017.  </w:t>
      </w:r>
      <w:r w:rsidRPr="004E553D">
        <w:rPr>
          <w:lang w:val="fr-FR"/>
        </w:rPr>
        <w:t xml:space="preserve">La Division des services de gestion continuera à fournir la vue d’ensemble des statistiques </w:t>
      </w:r>
      <w:r>
        <w:rPr>
          <w:lang w:val="fr-FR"/>
        </w:rPr>
        <w:t>sur les positions trimestrielles de l’</w:t>
      </w:r>
      <w:r w:rsidRPr="004E553D">
        <w:rPr>
          <w:lang w:val="fr-FR"/>
        </w:rPr>
        <w:t xml:space="preserve">UNFPA </w:t>
      </w:r>
      <w:r>
        <w:rPr>
          <w:lang w:val="fr-FR"/>
        </w:rPr>
        <w:t xml:space="preserve">ainsi que les renseignements actualisés qu’elle fournit tous les trimestres sur les taux de réalisation, le solde des ressources et les constatations et états d’audits. </w:t>
      </w:r>
      <w:r w:rsidRPr="00CC5A71">
        <w:rPr>
          <w:lang w:val="fr-FR"/>
        </w:rPr>
        <w:t xml:space="preserve">Ces rapports couvrent toutes les ressources de l’UNFPA, </w:t>
      </w:r>
      <w:r>
        <w:rPr>
          <w:lang w:val="fr-FR"/>
        </w:rPr>
        <w:t xml:space="preserve">notamment celles destinées aux interventions mondiales et régionales. </w:t>
      </w:r>
      <w:r w:rsidRPr="00957469">
        <w:rPr>
          <w:lang w:val="fr-FR"/>
        </w:rPr>
        <w:t>Pour éviter la fragmentation, l</w:t>
      </w:r>
      <w:r>
        <w:rPr>
          <w:lang w:val="fr-FR"/>
        </w:rPr>
        <w:t xml:space="preserve">’information sur l’avancement des travaux concernant </w:t>
      </w:r>
      <w:r w:rsidRPr="00957469">
        <w:rPr>
          <w:lang w:val="fr-FR"/>
        </w:rPr>
        <w:t xml:space="preserve">les interventions mondiales et </w:t>
      </w:r>
      <w:r>
        <w:rPr>
          <w:lang w:val="fr-FR"/>
        </w:rPr>
        <w:t>ré</w:t>
      </w:r>
      <w:r w:rsidRPr="00957469">
        <w:rPr>
          <w:lang w:val="fr-FR"/>
        </w:rPr>
        <w:t>gional</w:t>
      </w:r>
      <w:r>
        <w:rPr>
          <w:lang w:val="fr-FR"/>
        </w:rPr>
        <w:t>e</w:t>
      </w:r>
      <w:r w:rsidRPr="00957469">
        <w:rPr>
          <w:lang w:val="fr-FR"/>
        </w:rPr>
        <w:t>s ser</w:t>
      </w:r>
      <w:r>
        <w:rPr>
          <w:lang w:val="fr-FR"/>
        </w:rPr>
        <w:t>a</w:t>
      </w:r>
      <w:r w:rsidRPr="00957469">
        <w:rPr>
          <w:lang w:val="fr-FR"/>
        </w:rPr>
        <w:t xml:space="preserve"> communiqué</w:t>
      </w:r>
      <w:r>
        <w:rPr>
          <w:lang w:val="fr-FR"/>
        </w:rPr>
        <w:t>e</w:t>
      </w:r>
      <w:r w:rsidRPr="00957469">
        <w:rPr>
          <w:lang w:val="fr-FR"/>
        </w:rPr>
        <w:t xml:space="preserve"> dans </w:t>
      </w:r>
      <w:r>
        <w:rPr>
          <w:lang w:val="fr-FR"/>
        </w:rPr>
        <w:t>sa</w:t>
      </w:r>
      <w:r w:rsidRPr="00957469">
        <w:rPr>
          <w:lang w:val="fr-FR"/>
        </w:rPr>
        <w:t xml:space="preserve"> totalit</w:t>
      </w:r>
      <w:r>
        <w:rPr>
          <w:lang w:val="fr-FR"/>
        </w:rPr>
        <w:t xml:space="preserve">é dans le rapport annuel ordinaire de l’UNFPA et dans l’examen annuel statistique et financier. </w:t>
      </w:r>
    </w:p>
    <w:p w:rsidR="001D71AD" w:rsidRPr="00625282" w:rsidRDefault="001D71AD" w:rsidP="00AD069E">
      <w:pPr>
        <w:ind w:left="1080" w:right="720"/>
        <w:jc w:val="both"/>
        <w:rPr>
          <w:lang w:val="fr-FR"/>
        </w:rPr>
      </w:pPr>
    </w:p>
    <w:p w:rsidR="001D71AD" w:rsidRPr="0061614E" w:rsidRDefault="001D71AD" w:rsidP="00BB13A1">
      <w:pPr>
        <w:pStyle w:val="Heading3"/>
        <w:numPr>
          <w:ilvl w:val="0"/>
          <w:numId w:val="21"/>
        </w:numPr>
        <w:ind w:left="1440"/>
      </w:pPr>
      <w:r w:rsidRPr="003A5D85">
        <w:rPr>
          <w:lang w:val="fr-CA"/>
        </w:rPr>
        <w:t>Évaluation</w:t>
      </w:r>
    </w:p>
    <w:p w:rsidR="001D71AD" w:rsidRDefault="001D71AD" w:rsidP="00AD069E">
      <w:pPr>
        <w:ind w:left="1080" w:right="720"/>
        <w:jc w:val="both"/>
      </w:pPr>
    </w:p>
    <w:p w:rsidR="001D71AD" w:rsidRPr="0064045D" w:rsidRDefault="001D71AD" w:rsidP="00BB13A1">
      <w:pPr>
        <w:numPr>
          <w:ilvl w:val="0"/>
          <w:numId w:val="4"/>
        </w:numPr>
        <w:ind w:left="1080" w:right="720" w:firstLine="0"/>
        <w:jc w:val="both"/>
        <w:rPr>
          <w:lang w:val="fr-FR"/>
        </w:rPr>
      </w:pPr>
      <w:r w:rsidRPr="0064045D">
        <w:rPr>
          <w:lang w:val="fr-FR"/>
        </w:rPr>
        <w:t>L’UNFPA qui a récemment instauré une nouvelle politique d’évaluation (DP/FPA/2013/5), approuvée par le Conseil d’adminis</w:t>
      </w:r>
      <w:r>
        <w:rPr>
          <w:lang w:val="fr-FR"/>
        </w:rPr>
        <w:t>t</w:t>
      </w:r>
      <w:r w:rsidRPr="0064045D">
        <w:rPr>
          <w:lang w:val="fr-FR"/>
        </w:rPr>
        <w:t xml:space="preserve">ration en juin 2013, est en train d’établir un Bureau des évaluations distinct qui relèvera directement du Directeur exécutif. </w:t>
      </w:r>
      <w:r w:rsidRPr="00DE0C12">
        <w:rPr>
          <w:lang w:val="fr-FR"/>
        </w:rPr>
        <w:t>Il est prévu qu’en donnant plus d’importance à la f</w:t>
      </w:r>
      <w:r>
        <w:rPr>
          <w:lang w:val="fr-FR"/>
        </w:rPr>
        <w:t>o</w:t>
      </w:r>
      <w:r w:rsidRPr="00DE0C12">
        <w:rPr>
          <w:lang w:val="fr-FR"/>
        </w:rPr>
        <w:t>nction d’évaluation, en lui accordant plus de ressources et en am</w:t>
      </w:r>
      <w:r>
        <w:rPr>
          <w:lang w:val="fr-FR"/>
        </w:rPr>
        <w:t>é</w:t>
      </w:r>
      <w:r w:rsidRPr="00DE0C12">
        <w:rPr>
          <w:lang w:val="fr-FR"/>
        </w:rPr>
        <w:t xml:space="preserve">liorant la capacité de l’institution de fournir des </w:t>
      </w:r>
      <w:r>
        <w:rPr>
          <w:lang w:val="fr-FR"/>
        </w:rPr>
        <w:t>é</w:t>
      </w:r>
      <w:r w:rsidRPr="00DE0C12">
        <w:rPr>
          <w:lang w:val="fr-FR"/>
        </w:rPr>
        <w:t xml:space="preserve">valuations robustes des interventions programmatiques, l’UNFPA comprendra beaucoup mieux </w:t>
      </w:r>
      <w:r>
        <w:rPr>
          <w:lang w:val="fr-FR"/>
        </w:rPr>
        <w:t xml:space="preserve">la manière dont il peut produire des actions efficaces et efficientes à fort impact. </w:t>
      </w:r>
      <w:r w:rsidRPr="00D920A6">
        <w:rPr>
          <w:lang w:val="fr-FR"/>
        </w:rPr>
        <w:t>Ces constats seront utilisés dans de futures interventions. Les interventions mondiales et régionales seront </w:t>
      </w:r>
      <w:r>
        <w:rPr>
          <w:lang w:val="fr-FR"/>
        </w:rPr>
        <w:t>é</w:t>
      </w:r>
      <w:r w:rsidRPr="00D920A6">
        <w:rPr>
          <w:lang w:val="fr-FR"/>
        </w:rPr>
        <w:t>valuées dans le context</w:t>
      </w:r>
      <w:r>
        <w:rPr>
          <w:lang w:val="fr-FR"/>
        </w:rPr>
        <w:t xml:space="preserve">e de toutes les autres interventions programmatiques ainsi qu’avec celles-ci. </w:t>
      </w:r>
    </w:p>
    <w:p w:rsidR="001D71AD" w:rsidRPr="0064045D" w:rsidRDefault="001D71AD" w:rsidP="001D18CB">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674547">
        <w:rPr>
          <w:lang w:val="fr-FR"/>
        </w:rPr>
        <w:lastRenderedPageBreak/>
        <w:t xml:space="preserve">Les constatations ressortant des évaluations seront ensuite prises en compte dans les critères d’examen des futures interventions mondiales et régionales pour améliorer la qualité des plans d’action qui sont financés et contribuent à </w:t>
      </w:r>
      <w:r>
        <w:rPr>
          <w:lang w:val="fr-FR"/>
        </w:rPr>
        <w:t>un plus grand impact de l</w:t>
      </w:r>
      <w:r w:rsidRPr="00674547">
        <w:rPr>
          <w:lang w:val="fr-FR"/>
        </w:rPr>
        <w:t xml:space="preserve">’institution. </w:t>
      </w:r>
    </w:p>
    <w:p w:rsidR="001D71AD" w:rsidRPr="0064045D" w:rsidRDefault="001D71AD" w:rsidP="00465EE5">
      <w:pPr>
        <w:rPr>
          <w:lang w:val="fr-FR"/>
        </w:rPr>
      </w:pPr>
    </w:p>
    <w:p w:rsidR="001D71AD" w:rsidRPr="0064045D" w:rsidRDefault="001D71AD" w:rsidP="00465EE5">
      <w:pPr>
        <w:rPr>
          <w:rFonts w:ascii="Cambria" w:hAnsi="Cambria"/>
          <w:b/>
          <w:spacing w:val="-2"/>
          <w:lang w:val="fr-FR"/>
        </w:rPr>
      </w:pPr>
    </w:p>
    <w:p w:rsidR="001D71AD" w:rsidRPr="003A5D85" w:rsidRDefault="001D71AD" w:rsidP="0061614E">
      <w:pPr>
        <w:pStyle w:val="Heading2"/>
        <w:rPr>
          <w:lang w:val="fr-CA"/>
        </w:rPr>
      </w:pPr>
      <w:bookmarkStart w:id="8" w:name="_Toc363918448"/>
      <w:r w:rsidRPr="003A5D85">
        <w:rPr>
          <w:lang w:val="fr-CA"/>
        </w:rPr>
        <w:t>Rôles et responsabilités</w:t>
      </w:r>
      <w:bookmarkEnd w:id="8"/>
    </w:p>
    <w:p w:rsidR="001D71AD" w:rsidRPr="003A5D85" w:rsidRDefault="001D71AD" w:rsidP="0061614E">
      <w:pPr>
        <w:ind w:left="1080" w:right="720"/>
        <w:jc w:val="both"/>
        <w:rPr>
          <w:lang w:val="fr-CA"/>
        </w:rPr>
      </w:pPr>
    </w:p>
    <w:p w:rsidR="001D71AD" w:rsidRPr="004211E5" w:rsidRDefault="001D71AD" w:rsidP="00BB13A1">
      <w:pPr>
        <w:numPr>
          <w:ilvl w:val="0"/>
          <w:numId w:val="4"/>
        </w:numPr>
        <w:ind w:left="1080" w:right="720" w:firstLine="0"/>
        <w:jc w:val="both"/>
        <w:rPr>
          <w:lang w:val="fr-FR"/>
        </w:rPr>
      </w:pPr>
      <w:r w:rsidRPr="003A5D85">
        <w:rPr>
          <w:lang w:val="fr-CA"/>
        </w:rPr>
        <w:t>Les rôles et responsabilités</w:t>
      </w:r>
      <w:r w:rsidRPr="004211E5">
        <w:rPr>
          <w:lang w:val="fr-FR"/>
        </w:rPr>
        <w:t xml:space="preserve"> concernant la gouvernance et la gestion des interventions mondiales et r</w:t>
      </w:r>
      <w:r>
        <w:rPr>
          <w:lang w:val="fr-FR"/>
        </w:rPr>
        <w:t>é</w:t>
      </w:r>
      <w:r w:rsidRPr="004211E5">
        <w:rPr>
          <w:lang w:val="fr-FR"/>
        </w:rPr>
        <w:t>gional</w:t>
      </w:r>
      <w:r>
        <w:rPr>
          <w:lang w:val="fr-FR"/>
        </w:rPr>
        <w:t>e</w:t>
      </w:r>
      <w:r w:rsidRPr="004211E5">
        <w:rPr>
          <w:lang w:val="fr-FR"/>
        </w:rPr>
        <w:t xml:space="preserve">s sont définis dans le schéma suivant. </w:t>
      </w:r>
    </w:p>
    <w:p w:rsidR="001D71AD" w:rsidRDefault="00675BF5" w:rsidP="00DE2060">
      <w:pPr>
        <w:ind w:left="720" w:right="720"/>
        <w:jc w:val="both"/>
      </w:pPr>
      <w:r>
        <w:rPr>
          <w:noProof/>
          <w:lang w:val="en-US"/>
        </w:rPr>
        <w:drawing>
          <wp:inline distT="0" distB="0" distL="0" distR="0">
            <wp:extent cx="5438775" cy="2733675"/>
            <wp:effectExtent l="0" t="0" r="9525" b="952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733675"/>
                    </a:xfrm>
                    <a:prstGeom prst="rect">
                      <a:avLst/>
                    </a:prstGeom>
                    <a:noFill/>
                    <a:ln>
                      <a:noFill/>
                    </a:ln>
                  </pic:spPr>
                </pic:pic>
              </a:graphicData>
            </a:graphic>
          </wp:inline>
        </w:drawing>
      </w:r>
    </w:p>
    <w:p w:rsidR="001D71AD" w:rsidRDefault="001D71AD" w:rsidP="0061614E">
      <w:pPr>
        <w:ind w:left="1080" w:right="720"/>
        <w:jc w:val="both"/>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7"/>
        <w:gridCol w:w="2850"/>
        <w:gridCol w:w="2789"/>
      </w:tblGrid>
      <w:tr w:rsidR="001D71AD" w:rsidRPr="004923E9" w:rsidTr="00756ED0">
        <w:tc>
          <w:tcPr>
            <w:tcW w:w="3166" w:type="dxa"/>
          </w:tcPr>
          <w:p w:rsidR="001D71AD" w:rsidRPr="00CD0949" w:rsidRDefault="001D71AD" w:rsidP="00CD0949">
            <w:pPr>
              <w:pStyle w:val="NoSpacing"/>
              <w:jc w:val="center"/>
              <w:rPr>
                <w:rFonts w:ascii="Arial" w:hAnsi="Arial" w:cs="Arial"/>
                <w:b/>
                <w:sz w:val="18"/>
                <w:szCs w:val="18"/>
                <w:lang w:val="fr-FR"/>
              </w:rPr>
            </w:pPr>
            <w:r w:rsidRPr="00CD0949">
              <w:rPr>
                <w:rFonts w:ascii="Arial" w:hAnsi="Arial" w:cs="Arial"/>
                <w:b/>
                <w:sz w:val="18"/>
                <w:szCs w:val="18"/>
                <w:lang w:val="fr-FR"/>
              </w:rPr>
              <w:t>DSG</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Assure que les</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attributions de ressources</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sont dans les paramètres</w:t>
            </w:r>
          </w:p>
          <w:p w:rsidR="001D71AD" w:rsidRPr="00756ED0" w:rsidRDefault="001D71AD" w:rsidP="002B11E4">
            <w:pPr>
              <w:pStyle w:val="NoSpacing"/>
              <w:rPr>
                <w:rFonts w:ascii="Arial" w:hAnsi="Arial" w:cs="Arial"/>
                <w:sz w:val="18"/>
                <w:szCs w:val="18"/>
                <w:lang w:val="fr-FR"/>
              </w:rPr>
            </w:pPr>
            <w:r>
              <w:rPr>
                <w:rFonts w:ascii="Arial" w:hAnsi="Arial" w:cs="Arial"/>
                <w:sz w:val="18"/>
                <w:szCs w:val="18"/>
                <w:lang w:val="fr-FR"/>
              </w:rPr>
              <w:t>approuvés par le CA</w:t>
            </w:r>
          </w:p>
          <w:p w:rsidR="001D71AD" w:rsidRPr="00756ED0" w:rsidRDefault="001D71AD" w:rsidP="002B11E4">
            <w:pPr>
              <w:pStyle w:val="NoSpacing"/>
              <w:rPr>
                <w:rFonts w:ascii="Arial" w:hAnsi="Arial" w:cs="Arial"/>
                <w:sz w:val="18"/>
                <w:szCs w:val="18"/>
                <w:lang w:val="fr-FR"/>
              </w:rPr>
            </w:pPr>
          </w:p>
          <w:p w:rsidR="001D71AD" w:rsidRPr="00756ED0" w:rsidRDefault="001D71AD" w:rsidP="002B11E4">
            <w:pPr>
              <w:pStyle w:val="NoSpacing"/>
              <w:rPr>
                <w:rFonts w:ascii="Arial" w:hAnsi="Arial" w:cs="Arial"/>
                <w:sz w:val="18"/>
                <w:szCs w:val="18"/>
                <w:lang w:val="fr-FR"/>
              </w:rPr>
            </w:pPr>
          </w:p>
          <w:p w:rsidR="001D71AD" w:rsidRPr="00CD0949" w:rsidRDefault="001D71AD" w:rsidP="00CD0949">
            <w:pPr>
              <w:pStyle w:val="NoSpacing"/>
              <w:jc w:val="center"/>
              <w:rPr>
                <w:rFonts w:ascii="Arial" w:hAnsi="Arial" w:cs="Arial"/>
                <w:b/>
                <w:sz w:val="18"/>
                <w:szCs w:val="18"/>
                <w:lang w:val="fr-FR"/>
              </w:rPr>
            </w:pPr>
            <w:r w:rsidRPr="00CD0949">
              <w:rPr>
                <w:rFonts w:ascii="Arial" w:hAnsi="Arial" w:cs="Arial"/>
                <w:b/>
                <w:sz w:val="18"/>
                <w:szCs w:val="18"/>
                <w:lang w:val="fr-FR"/>
              </w:rPr>
              <w:t>Unités du siège et BR</w:t>
            </w:r>
          </w:p>
          <w:p w:rsidR="001D71AD" w:rsidRPr="00756ED0" w:rsidRDefault="001D71AD" w:rsidP="00BB13A1">
            <w:pPr>
              <w:pStyle w:val="NoSpacing"/>
              <w:numPr>
                <w:ilvl w:val="0"/>
                <w:numId w:val="29"/>
              </w:numPr>
              <w:ind w:left="180" w:hanging="180"/>
              <w:rPr>
                <w:rFonts w:ascii="Arial" w:hAnsi="Arial" w:cs="Arial"/>
                <w:sz w:val="18"/>
                <w:szCs w:val="18"/>
                <w:lang w:val="fr-FR"/>
              </w:rPr>
            </w:pPr>
            <w:r w:rsidRPr="00756ED0">
              <w:rPr>
                <w:rFonts w:ascii="Arial" w:hAnsi="Arial" w:cs="Arial"/>
                <w:sz w:val="18"/>
                <w:szCs w:val="18"/>
                <w:lang w:val="fr-FR"/>
              </w:rPr>
              <w:t>Élabore et révise</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les plans d’action selon</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les politiques, les procédures</w:t>
            </w:r>
          </w:p>
          <w:p w:rsidR="001D71AD" w:rsidRPr="00756ED0" w:rsidRDefault="001D71AD" w:rsidP="002B11E4">
            <w:pPr>
              <w:pStyle w:val="NoSpacing"/>
              <w:rPr>
                <w:rFonts w:ascii="Arial" w:hAnsi="Arial" w:cs="Arial"/>
                <w:sz w:val="18"/>
                <w:szCs w:val="18"/>
                <w:lang w:val="fr-FR"/>
              </w:rPr>
            </w:pPr>
            <w:r w:rsidRPr="00756ED0">
              <w:rPr>
                <w:rFonts w:ascii="Arial" w:hAnsi="Arial" w:cs="Arial"/>
                <w:sz w:val="18"/>
                <w:szCs w:val="18"/>
                <w:lang w:val="fr-FR"/>
              </w:rPr>
              <w:t>et les paramètres établis.</w:t>
            </w:r>
          </w:p>
          <w:p w:rsidR="001D71AD" w:rsidRPr="00756ED0" w:rsidRDefault="001D71AD" w:rsidP="00BB13A1">
            <w:pPr>
              <w:pStyle w:val="NoSpacing"/>
              <w:numPr>
                <w:ilvl w:val="0"/>
                <w:numId w:val="29"/>
              </w:numPr>
              <w:ind w:left="180" w:hanging="180"/>
              <w:rPr>
                <w:sz w:val="20"/>
                <w:szCs w:val="20"/>
                <w:lang w:val="fr-FR"/>
              </w:rPr>
            </w:pPr>
            <w:r w:rsidRPr="00756ED0">
              <w:rPr>
                <w:sz w:val="20"/>
                <w:szCs w:val="20"/>
                <w:lang w:val="fr-FR"/>
              </w:rPr>
              <w:t>Exécute des plans d’action et suit/communique les résultats.</w:t>
            </w:r>
          </w:p>
        </w:tc>
        <w:tc>
          <w:tcPr>
            <w:tcW w:w="3167" w:type="dxa"/>
          </w:tcPr>
          <w:p w:rsidR="001D71AD" w:rsidRPr="00CD0949" w:rsidRDefault="001D71AD" w:rsidP="00CD0949">
            <w:pPr>
              <w:ind w:right="720"/>
              <w:jc w:val="center"/>
              <w:rPr>
                <w:rFonts w:ascii="Calibri" w:hAnsi="Calibri"/>
                <w:b/>
                <w:sz w:val="18"/>
                <w:szCs w:val="18"/>
                <w:lang w:val="fr-FR"/>
              </w:rPr>
            </w:pPr>
            <w:r w:rsidRPr="00CD0949">
              <w:rPr>
                <w:rFonts w:ascii="Calibri" w:hAnsi="Calibri"/>
                <w:b/>
                <w:sz w:val="18"/>
                <w:szCs w:val="18"/>
                <w:lang w:val="fr-FR"/>
              </w:rPr>
              <w:t>BDE</w:t>
            </w:r>
          </w:p>
          <w:p w:rsidR="001D71AD" w:rsidRPr="00756ED0" w:rsidRDefault="001D71AD" w:rsidP="00756ED0">
            <w:pPr>
              <w:ind w:right="720"/>
              <w:jc w:val="both"/>
              <w:rPr>
                <w:rFonts w:ascii="Calibri" w:hAnsi="Calibri"/>
                <w:sz w:val="18"/>
                <w:szCs w:val="18"/>
                <w:lang w:val="fr-FR"/>
              </w:rPr>
            </w:pPr>
          </w:p>
          <w:p w:rsidR="001D71AD" w:rsidRPr="00756ED0" w:rsidRDefault="001D71AD" w:rsidP="00CD0949">
            <w:pPr>
              <w:ind w:right="720"/>
              <w:jc w:val="center"/>
              <w:rPr>
                <w:rFonts w:ascii="Calibri" w:hAnsi="Calibri"/>
                <w:sz w:val="18"/>
                <w:szCs w:val="18"/>
                <w:lang w:val="fr-FR"/>
              </w:rPr>
            </w:pPr>
            <w:r w:rsidRPr="00756ED0">
              <w:rPr>
                <w:rFonts w:ascii="Calibri" w:hAnsi="Calibri"/>
                <w:sz w:val="18"/>
                <w:szCs w:val="18"/>
                <w:lang w:val="fr-FR"/>
              </w:rPr>
              <w:t>Président</w:t>
            </w:r>
          </w:p>
          <w:p w:rsidR="001D71AD" w:rsidRPr="00756ED0" w:rsidRDefault="001D71AD" w:rsidP="00756ED0">
            <w:pPr>
              <w:ind w:right="720"/>
              <w:jc w:val="both"/>
              <w:rPr>
                <w:rFonts w:ascii="Calibri" w:hAnsi="Calibri"/>
                <w:sz w:val="18"/>
                <w:szCs w:val="18"/>
                <w:lang w:val="fr-FR"/>
              </w:rPr>
            </w:pPr>
          </w:p>
          <w:p w:rsidR="001D71AD" w:rsidRPr="00CD0949" w:rsidRDefault="001D71AD" w:rsidP="00CD0949">
            <w:pPr>
              <w:ind w:right="720"/>
              <w:jc w:val="center"/>
              <w:rPr>
                <w:rFonts w:ascii="Calibri" w:hAnsi="Calibri"/>
                <w:b/>
                <w:sz w:val="18"/>
                <w:szCs w:val="18"/>
                <w:lang w:val="fr-FR"/>
              </w:rPr>
            </w:pPr>
            <w:r w:rsidRPr="00CD0949">
              <w:rPr>
                <w:rFonts w:ascii="Calibri" w:hAnsi="Calibri"/>
                <w:b/>
                <w:sz w:val="18"/>
                <w:szCs w:val="18"/>
                <w:lang w:val="fr-FR"/>
              </w:rPr>
              <w:t>CEP/CE</w:t>
            </w:r>
          </w:p>
          <w:p w:rsidR="001D71AD" w:rsidRPr="0064045D" w:rsidRDefault="001D71AD" w:rsidP="009E5D6B">
            <w:pPr>
              <w:pStyle w:val="NoSpacing"/>
              <w:rPr>
                <w:rFonts w:ascii="Arial" w:hAnsi="Arial" w:cs="Arial"/>
                <w:sz w:val="18"/>
                <w:szCs w:val="18"/>
                <w:lang w:val="fr-FR"/>
              </w:rPr>
            </w:pPr>
          </w:p>
          <w:p w:rsidR="001D71AD" w:rsidRPr="00756ED0" w:rsidRDefault="001D71AD" w:rsidP="009E5D6B">
            <w:pPr>
              <w:pStyle w:val="NoSpacing"/>
              <w:rPr>
                <w:rFonts w:ascii="Arial" w:hAnsi="Arial" w:cs="Arial"/>
                <w:sz w:val="18"/>
                <w:szCs w:val="18"/>
                <w:lang w:val="fr-FR"/>
              </w:rPr>
            </w:pPr>
            <w:r w:rsidRPr="00756ED0">
              <w:rPr>
                <w:rFonts w:ascii="Arial" w:hAnsi="Arial" w:cs="Arial"/>
                <w:sz w:val="18"/>
                <w:szCs w:val="18"/>
                <w:lang w:val="fr-FR"/>
              </w:rPr>
              <w:t xml:space="preserve">S’assure que les décisions finales de financement sont prises en suivant les processus établis et conformes au plan stratégique. </w:t>
            </w:r>
          </w:p>
          <w:p w:rsidR="001D71AD" w:rsidRPr="00756ED0" w:rsidRDefault="001D71AD" w:rsidP="009E5D6B">
            <w:pPr>
              <w:pStyle w:val="NoSpacing"/>
              <w:rPr>
                <w:rFonts w:ascii="Arial" w:hAnsi="Arial" w:cs="Arial"/>
                <w:sz w:val="18"/>
                <w:szCs w:val="18"/>
                <w:lang w:val="fr-FR"/>
              </w:rPr>
            </w:pPr>
            <w:r w:rsidRPr="00756ED0">
              <w:rPr>
                <w:rFonts w:ascii="Arial" w:hAnsi="Arial" w:cs="Arial"/>
                <w:sz w:val="18"/>
                <w:szCs w:val="18"/>
                <w:lang w:val="fr-FR"/>
              </w:rPr>
              <w:t>Entreprend périodiquement un suivi de la gestion</w:t>
            </w:r>
          </w:p>
        </w:tc>
        <w:tc>
          <w:tcPr>
            <w:tcW w:w="3167" w:type="dxa"/>
          </w:tcPr>
          <w:p w:rsidR="001D71AD" w:rsidRPr="00CD0949" w:rsidRDefault="001D71AD" w:rsidP="00CD0949">
            <w:pPr>
              <w:ind w:right="720"/>
              <w:jc w:val="center"/>
              <w:rPr>
                <w:rFonts w:ascii="Calibri" w:hAnsi="Calibri"/>
                <w:b/>
                <w:lang w:val="fr-FR"/>
              </w:rPr>
            </w:pPr>
            <w:r w:rsidRPr="00CD0949">
              <w:rPr>
                <w:rFonts w:ascii="Calibri" w:hAnsi="Calibri"/>
                <w:b/>
                <w:lang w:val="fr-FR"/>
              </w:rPr>
              <w:t>DP</w:t>
            </w:r>
          </w:p>
          <w:p w:rsidR="001D71AD" w:rsidRPr="00756ED0" w:rsidRDefault="001D71AD" w:rsidP="00756ED0">
            <w:pPr>
              <w:ind w:right="720"/>
              <w:jc w:val="both"/>
              <w:rPr>
                <w:rFonts w:ascii="Calibri" w:hAnsi="Calibri"/>
                <w:lang w:val="fr-FR"/>
              </w:rPr>
            </w:pPr>
          </w:p>
          <w:p w:rsidR="001D71AD" w:rsidRPr="0064045D" w:rsidRDefault="001D71AD" w:rsidP="00B11D47">
            <w:pPr>
              <w:pStyle w:val="NoSpacing"/>
              <w:rPr>
                <w:rFonts w:ascii="Arial" w:hAnsi="Arial" w:cs="Arial"/>
                <w:sz w:val="18"/>
                <w:szCs w:val="18"/>
                <w:lang w:val="fr-FR"/>
              </w:rPr>
            </w:pPr>
            <w:r w:rsidRPr="0064045D">
              <w:rPr>
                <w:rFonts w:ascii="Arial" w:hAnsi="Arial" w:cs="Arial"/>
                <w:sz w:val="18"/>
                <w:szCs w:val="18"/>
                <w:lang w:val="fr-FR"/>
              </w:rPr>
              <w:t>-Élabore des principes, des politiques, des procédures et des directives.</w:t>
            </w:r>
          </w:p>
          <w:p w:rsidR="001D71AD" w:rsidRPr="0064045D" w:rsidRDefault="001D71AD" w:rsidP="00B11D47">
            <w:pPr>
              <w:pStyle w:val="NoSpacing"/>
              <w:rPr>
                <w:rFonts w:ascii="Arial" w:hAnsi="Arial" w:cs="Arial"/>
                <w:sz w:val="18"/>
                <w:szCs w:val="18"/>
                <w:lang w:val="fr-FR"/>
              </w:rPr>
            </w:pPr>
          </w:p>
          <w:p w:rsidR="001D71AD" w:rsidRPr="00756ED0" w:rsidRDefault="001D71AD" w:rsidP="00A93AB3">
            <w:pPr>
              <w:pStyle w:val="NoSpacing"/>
              <w:rPr>
                <w:lang w:val="fr-FR"/>
              </w:rPr>
            </w:pPr>
            <w:r w:rsidRPr="00756ED0">
              <w:rPr>
                <w:rFonts w:ascii="Arial" w:hAnsi="Arial" w:cs="Arial"/>
                <w:sz w:val="18"/>
                <w:szCs w:val="18"/>
                <w:lang w:val="fr-FR"/>
              </w:rPr>
              <w:t xml:space="preserve">En tant qu’hôte du CEP, le secrétariat facilite l’examen par les pairs selon les paramètres et les principes établis et maintient en ligne une logithèque de référence de </w:t>
            </w:r>
            <w:r>
              <w:rPr>
                <w:rFonts w:ascii="Arial" w:hAnsi="Arial" w:cs="Arial"/>
                <w:sz w:val="18"/>
                <w:szCs w:val="18"/>
                <w:lang w:val="fr-FR"/>
              </w:rPr>
              <w:t>la totalité des</w:t>
            </w:r>
            <w:r w:rsidRPr="00756ED0">
              <w:rPr>
                <w:rFonts w:ascii="Arial" w:hAnsi="Arial" w:cs="Arial"/>
                <w:sz w:val="18"/>
                <w:szCs w:val="18"/>
                <w:lang w:val="fr-FR"/>
              </w:rPr>
              <w:t xml:space="preserve"> critères, propositions, examens, décisions de financement et rapport d’avancement</w:t>
            </w:r>
          </w:p>
        </w:tc>
      </w:tr>
    </w:tbl>
    <w:p w:rsidR="001D71AD" w:rsidRPr="002B11E4" w:rsidRDefault="001D71AD" w:rsidP="0061614E">
      <w:pPr>
        <w:ind w:left="1080" w:right="720"/>
        <w:jc w:val="both"/>
        <w:rPr>
          <w:lang w:val="fr-FR"/>
        </w:rPr>
      </w:pPr>
    </w:p>
    <w:p w:rsidR="001D71AD" w:rsidRPr="002B11E4" w:rsidRDefault="001D71AD" w:rsidP="0061614E">
      <w:pPr>
        <w:ind w:left="1080" w:right="720"/>
        <w:jc w:val="both"/>
        <w:rPr>
          <w:lang w:val="fr-FR"/>
        </w:rPr>
      </w:pPr>
    </w:p>
    <w:p w:rsidR="001D71AD" w:rsidRPr="002B11E4" w:rsidRDefault="001D71AD" w:rsidP="0061614E">
      <w:pPr>
        <w:ind w:left="1080" w:right="720"/>
        <w:jc w:val="both"/>
        <w:rPr>
          <w:lang w:val="fr-FR"/>
        </w:rPr>
      </w:pPr>
    </w:p>
    <w:p w:rsidR="001D71AD" w:rsidRPr="0022006A" w:rsidRDefault="001D71AD" w:rsidP="00BB13A1">
      <w:pPr>
        <w:numPr>
          <w:ilvl w:val="0"/>
          <w:numId w:val="4"/>
        </w:numPr>
        <w:ind w:left="1080" w:right="720" w:firstLine="0"/>
        <w:jc w:val="both"/>
        <w:rPr>
          <w:lang w:val="fr-FR"/>
        </w:rPr>
      </w:pPr>
      <w:r w:rsidRPr="0022006A">
        <w:rPr>
          <w:lang w:val="fr-FR"/>
        </w:rPr>
        <w:t xml:space="preserve">Pour assurer transparence et homogénéité, les documents suivants sont affichés en ligne sur une </w:t>
      </w:r>
      <w:r>
        <w:rPr>
          <w:lang w:val="fr-FR"/>
        </w:rPr>
        <w:t>page intranetréservée à cet effet et tenue à jour par le secrétariat du CEP</w:t>
      </w:r>
      <w:r w:rsidRPr="0022006A">
        <w:rPr>
          <w:lang w:val="fr-FR"/>
        </w:rPr>
        <w:t>:</w:t>
      </w:r>
    </w:p>
    <w:p w:rsidR="001D71AD" w:rsidRPr="00925056" w:rsidRDefault="001D71AD" w:rsidP="00BB13A1">
      <w:pPr>
        <w:numPr>
          <w:ilvl w:val="0"/>
          <w:numId w:val="31"/>
        </w:numPr>
        <w:ind w:right="720" w:hanging="615"/>
        <w:jc w:val="both"/>
        <w:rPr>
          <w:lang w:val="fr-FR"/>
        </w:rPr>
      </w:pPr>
      <w:r>
        <w:rPr>
          <w:lang w:val="fr-FR"/>
        </w:rPr>
        <w:t xml:space="preserve">Toutes les </w:t>
      </w:r>
      <w:r w:rsidRPr="00925056">
        <w:rPr>
          <w:lang w:val="fr-FR"/>
        </w:rPr>
        <w:t>politiques, procédures et calendriers des activit</w:t>
      </w:r>
      <w:r>
        <w:rPr>
          <w:lang w:val="fr-FR"/>
        </w:rPr>
        <w:t xml:space="preserve">és </w:t>
      </w:r>
      <w:r w:rsidRPr="00925056">
        <w:rPr>
          <w:lang w:val="fr-FR"/>
        </w:rPr>
        <w:t>;</w:t>
      </w:r>
    </w:p>
    <w:p w:rsidR="001D71AD" w:rsidRPr="00925056" w:rsidRDefault="001D71AD" w:rsidP="00BB13A1">
      <w:pPr>
        <w:numPr>
          <w:ilvl w:val="0"/>
          <w:numId w:val="31"/>
        </w:numPr>
        <w:ind w:right="720" w:hanging="615"/>
        <w:jc w:val="both"/>
        <w:rPr>
          <w:lang w:val="fr-FR"/>
        </w:rPr>
      </w:pPr>
      <w:r>
        <w:rPr>
          <w:lang w:val="fr-FR"/>
        </w:rPr>
        <w:t xml:space="preserve">Tous les plans d’action présentés et le point de la situation </w:t>
      </w:r>
      <w:r w:rsidRPr="00925056">
        <w:rPr>
          <w:lang w:val="fr-FR"/>
        </w:rPr>
        <w:t>;</w:t>
      </w:r>
    </w:p>
    <w:p w:rsidR="001D71AD" w:rsidRPr="00925056" w:rsidRDefault="001D71AD" w:rsidP="00BB13A1">
      <w:pPr>
        <w:numPr>
          <w:ilvl w:val="0"/>
          <w:numId w:val="31"/>
        </w:numPr>
        <w:ind w:right="720" w:hanging="615"/>
        <w:jc w:val="both"/>
        <w:rPr>
          <w:lang w:val="fr-FR"/>
        </w:rPr>
      </w:pPr>
      <w:r>
        <w:rPr>
          <w:lang w:val="fr-FR"/>
        </w:rPr>
        <w:t>R</w:t>
      </w:r>
      <w:r w:rsidRPr="00925056">
        <w:rPr>
          <w:lang w:val="fr-FR"/>
        </w:rPr>
        <w:t xml:space="preserve">ecommandations sommaires des évaluateurs </w:t>
      </w:r>
      <w:r>
        <w:rPr>
          <w:lang w:val="fr-FR"/>
        </w:rPr>
        <w:t xml:space="preserve">par les </w:t>
      </w:r>
      <w:r w:rsidRPr="00925056">
        <w:rPr>
          <w:lang w:val="fr-FR"/>
        </w:rPr>
        <w:t>pairs ; et</w:t>
      </w:r>
    </w:p>
    <w:p w:rsidR="001D71AD" w:rsidRPr="00925056" w:rsidRDefault="001D71AD" w:rsidP="00BB13A1">
      <w:pPr>
        <w:numPr>
          <w:ilvl w:val="0"/>
          <w:numId w:val="31"/>
        </w:numPr>
        <w:ind w:right="720" w:hanging="615"/>
        <w:jc w:val="both"/>
        <w:rPr>
          <w:lang w:val="fr-FR"/>
        </w:rPr>
      </w:pPr>
      <w:r w:rsidRPr="00925056">
        <w:rPr>
          <w:lang w:val="fr-FR"/>
        </w:rPr>
        <w:t>Recomm</w:t>
      </w:r>
      <w:r>
        <w:rPr>
          <w:lang w:val="fr-FR"/>
        </w:rPr>
        <w:t>a</w:t>
      </w:r>
      <w:r w:rsidRPr="00925056">
        <w:rPr>
          <w:lang w:val="fr-FR"/>
        </w:rPr>
        <w:t>ndations du CEP et d</w:t>
      </w:r>
      <w:r>
        <w:rPr>
          <w:lang w:val="fr-FR"/>
        </w:rPr>
        <w:t>é</w:t>
      </w:r>
      <w:r w:rsidRPr="00925056">
        <w:rPr>
          <w:lang w:val="fr-FR"/>
        </w:rPr>
        <w:t>cision de financement du CE.</w:t>
      </w:r>
    </w:p>
    <w:p w:rsidR="001D71AD" w:rsidRDefault="001D71AD" w:rsidP="00BB13A1">
      <w:pPr>
        <w:pStyle w:val="Heading1"/>
        <w:numPr>
          <w:ilvl w:val="0"/>
          <w:numId w:val="5"/>
        </w:numPr>
        <w:ind w:right="720"/>
        <w:jc w:val="both"/>
        <w:rPr>
          <w:lang w:val="fr-FR"/>
        </w:rPr>
      </w:pPr>
      <w:r w:rsidRPr="009850B5">
        <w:rPr>
          <w:lang w:val="fr-FR"/>
        </w:rPr>
        <w:br w:type="page"/>
      </w:r>
      <w:bookmarkStart w:id="9" w:name="_Toc363918449"/>
      <w:r w:rsidRPr="009850B5">
        <w:rPr>
          <w:lang w:val="fr-FR"/>
        </w:rPr>
        <w:lastRenderedPageBreak/>
        <w:t>Le système d’attribution des ressources</w:t>
      </w:r>
      <w:bookmarkEnd w:id="9"/>
    </w:p>
    <w:p w:rsidR="001D71AD" w:rsidRPr="003A5D85" w:rsidRDefault="001D71AD" w:rsidP="009850B5">
      <w:pPr>
        <w:rPr>
          <w:lang w:val="fr-CA"/>
        </w:rPr>
      </w:pPr>
    </w:p>
    <w:p w:rsidR="001D71AD" w:rsidRPr="00445095" w:rsidRDefault="001D71AD" w:rsidP="00BB13A1">
      <w:pPr>
        <w:pStyle w:val="Heading2"/>
        <w:numPr>
          <w:ilvl w:val="0"/>
          <w:numId w:val="19"/>
        </w:numPr>
      </w:pPr>
      <w:bookmarkStart w:id="10" w:name="_Toc363918450"/>
      <w:r w:rsidRPr="003A5D85">
        <w:rPr>
          <w:lang w:val="fr-CA"/>
        </w:rPr>
        <w:t>Contexte</w:t>
      </w:r>
      <w:bookmarkEnd w:id="10"/>
    </w:p>
    <w:p w:rsidR="001D71AD" w:rsidRDefault="001D71AD" w:rsidP="00445095">
      <w:pPr>
        <w:ind w:left="1080" w:right="720"/>
        <w:jc w:val="both"/>
        <w:rPr>
          <w:lang w:val="en-US"/>
        </w:rPr>
      </w:pPr>
    </w:p>
    <w:p w:rsidR="001D71AD" w:rsidRPr="0064045D" w:rsidRDefault="001D71AD" w:rsidP="00BB13A1">
      <w:pPr>
        <w:numPr>
          <w:ilvl w:val="0"/>
          <w:numId w:val="4"/>
        </w:numPr>
        <w:ind w:left="1080" w:right="720" w:firstLine="0"/>
        <w:jc w:val="both"/>
        <w:rPr>
          <w:lang w:val="fr-FR"/>
        </w:rPr>
      </w:pPr>
      <w:r w:rsidRPr="0064045D">
        <w:rPr>
          <w:lang w:val="fr-FR"/>
        </w:rPr>
        <w:t>Le SAR</w:t>
      </w:r>
      <w:r>
        <w:rPr>
          <w:lang w:val="fr-FR"/>
        </w:rPr>
        <w:t xml:space="preserve">, </w:t>
      </w:r>
      <w:r w:rsidRPr="0064045D">
        <w:rPr>
          <w:lang w:val="fr-FR"/>
        </w:rPr>
        <w:t>l’une des filières de financement évoquées ci-dessus e</w:t>
      </w:r>
      <w:r>
        <w:rPr>
          <w:lang w:val="fr-FR"/>
        </w:rPr>
        <w:t>s</w:t>
      </w:r>
      <w:r w:rsidRPr="0064045D">
        <w:rPr>
          <w:lang w:val="fr-FR"/>
        </w:rPr>
        <w:t>t de ce fait</w:t>
      </w:r>
      <w:r>
        <w:rPr>
          <w:lang w:val="fr-FR"/>
        </w:rPr>
        <w:t>,</w:t>
      </w:r>
      <w:r w:rsidRPr="0064045D">
        <w:rPr>
          <w:lang w:val="fr-FR"/>
        </w:rPr>
        <w:t xml:space="preserve">concerné par les difficultés plus larges décrites ci-dessus. </w:t>
      </w:r>
      <w:r w:rsidRPr="00B66579">
        <w:rPr>
          <w:lang w:val="fr-FR"/>
        </w:rPr>
        <w:t>De plus, la part de ressources de base diminu</w:t>
      </w:r>
      <w:r>
        <w:rPr>
          <w:lang w:val="fr-FR"/>
        </w:rPr>
        <w:t>ant</w:t>
      </w:r>
      <w:r w:rsidRPr="00B66579">
        <w:rPr>
          <w:lang w:val="fr-FR"/>
        </w:rPr>
        <w:t xml:space="preserve"> régulièrement alors que d’autres ressources augmentent, il va </w:t>
      </w:r>
      <w:r>
        <w:rPr>
          <w:lang w:val="fr-FR"/>
        </w:rPr>
        <w:t xml:space="preserve">devenir </w:t>
      </w:r>
      <w:r w:rsidRPr="00B66579">
        <w:rPr>
          <w:lang w:val="fr-FR"/>
        </w:rPr>
        <w:t xml:space="preserve">de plus en plus important de gérer les ressources du programme attribuées par le SAR d’une manière qui sera en harmonie avec les parties du financement provenant d’autres ressources. </w:t>
      </w:r>
    </w:p>
    <w:p w:rsidR="001D71AD" w:rsidRPr="0064045D" w:rsidRDefault="001D71AD" w:rsidP="00F84D3B">
      <w:pPr>
        <w:ind w:left="1080" w:right="720"/>
        <w:jc w:val="both"/>
        <w:rPr>
          <w:lang w:val="fr-FR"/>
        </w:rPr>
      </w:pPr>
    </w:p>
    <w:p w:rsidR="001D71AD" w:rsidRPr="00B22175" w:rsidRDefault="001D71AD" w:rsidP="00BB13A1">
      <w:pPr>
        <w:numPr>
          <w:ilvl w:val="0"/>
          <w:numId w:val="4"/>
        </w:numPr>
        <w:ind w:left="1080" w:right="720" w:firstLine="0"/>
        <w:jc w:val="both"/>
        <w:rPr>
          <w:lang w:val="fr-FR"/>
        </w:rPr>
      </w:pPr>
      <w:r w:rsidRPr="00B22175">
        <w:rPr>
          <w:lang w:val="fr-FR"/>
        </w:rPr>
        <w:t>Néanmoins, il est urgent de résoudre un certain nombre de problèmes associés au SAR, indépend</w:t>
      </w:r>
      <w:r>
        <w:rPr>
          <w:lang w:val="fr-FR"/>
        </w:rPr>
        <w:t>a</w:t>
      </w:r>
      <w:r w:rsidRPr="00B22175">
        <w:rPr>
          <w:lang w:val="fr-FR"/>
        </w:rPr>
        <w:t xml:space="preserve">mment des </w:t>
      </w:r>
      <w:r>
        <w:rPr>
          <w:lang w:val="fr-FR"/>
        </w:rPr>
        <w:t>amé</w:t>
      </w:r>
      <w:r w:rsidRPr="00B22175">
        <w:rPr>
          <w:lang w:val="fr-FR"/>
        </w:rPr>
        <w:t>liorations plus larges de l’architecture du financement.</w:t>
      </w:r>
      <w:r>
        <w:rPr>
          <w:lang w:val="fr-FR"/>
        </w:rPr>
        <w:t xml:space="preserve"> Un examen attentif du fonctionnement du système est indispensable pour comprendre les difficultés actuelles </w:t>
      </w:r>
      <w:r w:rsidRPr="00B22175">
        <w:rPr>
          <w:lang w:val="fr-FR"/>
        </w:rPr>
        <w:t>du SAR.</w:t>
      </w:r>
    </w:p>
    <w:p w:rsidR="001D71AD" w:rsidRPr="00B22175" w:rsidRDefault="001D71AD" w:rsidP="00F84D3B">
      <w:pPr>
        <w:ind w:left="1080" w:right="720"/>
        <w:jc w:val="both"/>
        <w:rPr>
          <w:lang w:val="fr-FR"/>
        </w:rPr>
      </w:pPr>
    </w:p>
    <w:p w:rsidR="001D71AD" w:rsidRPr="00F776F7" w:rsidRDefault="001D71AD" w:rsidP="00BB13A1">
      <w:pPr>
        <w:numPr>
          <w:ilvl w:val="0"/>
          <w:numId w:val="4"/>
        </w:numPr>
        <w:ind w:left="1080" w:right="720" w:firstLine="0"/>
        <w:jc w:val="both"/>
        <w:rPr>
          <w:lang w:val="fr-FR"/>
        </w:rPr>
      </w:pPr>
      <w:r w:rsidRPr="00F776F7">
        <w:rPr>
          <w:lang w:val="fr-FR"/>
        </w:rPr>
        <w:t>Le cadre actuel adopté en 1996</w:t>
      </w:r>
      <w:r>
        <w:rPr>
          <w:lang w:val="fr-FR"/>
        </w:rPr>
        <w:t>, a été</w:t>
      </w:r>
      <w:r w:rsidRPr="00F776F7">
        <w:rPr>
          <w:lang w:val="fr-FR"/>
        </w:rPr>
        <w:t xml:space="preserve"> ré</w:t>
      </w:r>
      <w:r>
        <w:rPr>
          <w:lang w:val="fr-FR"/>
        </w:rPr>
        <w:t xml:space="preserve">visé </w:t>
      </w:r>
      <w:r w:rsidRPr="00F776F7">
        <w:rPr>
          <w:lang w:val="fr-FR"/>
        </w:rPr>
        <w:t xml:space="preserve">et </w:t>
      </w:r>
      <w:r>
        <w:rPr>
          <w:lang w:val="fr-FR"/>
        </w:rPr>
        <w:t xml:space="preserve">perfectionné par le Conseil d’administration en </w:t>
      </w:r>
      <w:r w:rsidRPr="00F776F7">
        <w:rPr>
          <w:lang w:val="fr-FR"/>
        </w:rPr>
        <w:t xml:space="preserve">2000, 2005, </w:t>
      </w:r>
      <w:r>
        <w:rPr>
          <w:lang w:val="fr-FR"/>
        </w:rPr>
        <w:t>et</w:t>
      </w:r>
      <w:r w:rsidRPr="00F776F7">
        <w:rPr>
          <w:lang w:val="fr-FR"/>
        </w:rPr>
        <w:t xml:space="preserve"> 2007. La plus récente actuali</w:t>
      </w:r>
      <w:r>
        <w:rPr>
          <w:lang w:val="fr-FR"/>
        </w:rPr>
        <w:t>s</w:t>
      </w:r>
      <w:r w:rsidRPr="00F776F7">
        <w:rPr>
          <w:lang w:val="fr-FR"/>
        </w:rPr>
        <w:t>ation du SAR</w:t>
      </w:r>
      <w:r>
        <w:rPr>
          <w:lang w:val="fr-FR"/>
        </w:rPr>
        <w:t>,</w:t>
      </w:r>
      <w:r w:rsidRPr="00F776F7">
        <w:rPr>
          <w:lang w:val="fr-FR"/>
        </w:rPr>
        <w:t xml:space="preserve"> détaillée dans DP/FPA/2007/18</w:t>
      </w:r>
      <w:r>
        <w:rPr>
          <w:lang w:val="fr-FR"/>
        </w:rPr>
        <w:t xml:space="preserve">, </w:t>
      </w:r>
      <w:r w:rsidRPr="00F776F7">
        <w:rPr>
          <w:lang w:val="fr-FR"/>
        </w:rPr>
        <w:t xml:space="preserve">a </w:t>
      </w:r>
      <w:r>
        <w:rPr>
          <w:lang w:val="fr-FR"/>
        </w:rPr>
        <w:t xml:space="preserve">été </w:t>
      </w:r>
      <w:r w:rsidRPr="00F776F7">
        <w:rPr>
          <w:lang w:val="fr-FR"/>
        </w:rPr>
        <w:t>appro</w:t>
      </w:r>
      <w:r>
        <w:rPr>
          <w:lang w:val="fr-FR"/>
        </w:rPr>
        <w:t>u</w:t>
      </w:r>
      <w:r w:rsidRPr="00F776F7">
        <w:rPr>
          <w:lang w:val="fr-FR"/>
        </w:rPr>
        <w:t>v</w:t>
      </w:r>
      <w:r>
        <w:rPr>
          <w:lang w:val="fr-FR"/>
        </w:rPr>
        <w:t xml:space="preserve">ée par la décision </w:t>
      </w:r>
      <w:r w:rsidRPr="00F776F7">
        <w:rPr>
          <w:lang w:val="fr-FR"/>
        </w:rPr>
        <w:t>2007/42</w:t>
      </w:r>
      <w:r>
        <w:rPr>
          <w:lang w:val="fr-FR"/>
        </w:rPr>
        <w:t xml:space="preserve"> duConseil exécutif</w:t>
      </w:r>
      <w:r w:rsidRPr="00F776F7">
        <w:rPr>
          <w:lang w:val="fr-FR"/>
        </w:rPr>
        <w:t>.</w:t>
      </w:r>
    </w:p>
    <w:p w:rsidR="001D71AD" w:rsidRPr="00F776F7" w:rsidRDefault="001D71AD" w:rsidP="00F84D3B">
      <w:pPr>
        <w:ind w:left="1080" w:right="720"/>
        <w:jc w:val="both"/>
        <w:rPr>
          <w:lang w:val="fr-FR"/>
        </w:rPr>
      </w:pPr>
    </w:p>
    <w:p w:rsidR="001D71AD" w:rsidRPr="00F776F7" w:rsidRDefault="001D71AD" w:rsidP="00BB13A1">
      <w:pPr>
        <w:numPr>
          <w:ilvl w:val="0"/>
          <w:numId w:val="4"/>
        </w:numPr>
        <w:ind w:left="1080" w:right="720" w:firstLine="0"/>
        <w:jc w:val="both"/>
        <w:rPr>
          <w:lang w:val="fr-FR"/>
        </w:rPr>
      </w:pPr>
      <w:r w:rsidRPr="00F776F7">
        <w:rPr>
          <w:lang w:val="fr-FR"/>
        </w:rPr>
        <w:t xml:space="preserve">Le document DP/FPA/2007/18 énonce un ensemble de principes </w:t>
      </w:r>
      <w:r>
        <w:rPr>
          <w:lang w:val="fr-FR"/>
        </w:rPr>
        <w:t xml:space="preserve">directeurs concernant le SAR </w:t>
      </w:r>
      <w:r w:rsidRPr="00F776F7">
        <w:rPr>
          <w:lang w:val="fr-FR"/>
        </w:rPr>
        <w:t>:</w:t>
      </w:r>
    </w:p>
    <w:p w:rsidR="001D71AD" w:rsidRPr="006A2B48" w:rsidRDefault="001D71AD" w:rsidP="00BB13A1">
      <w:pPr>
        <w:numPr>
          <w:ilvl w:val="0"/>
          <w:numId w:val="30"/>
        </w:numPr>
        <w:ind w:left="1890" w:right="720"/>
        <w:jc w:val="both"/>
        <w:rPr>
          <w:lang w:val="fr-FR"/>
        </w:rPr>
      </w:pPr>
      <w:r>
        <w:rPr>
          <w:lang w:val="fr-FR"/>
        </w:rPr>
        <w:t>« </w:t>
      </w:r>
      <w:r w:rsidRPr="006A2B48">
        <w:rPr>
          <w:lang w:val="fr-FR"/>
        </w:rPr>
        <w:t>Conformité aux principes du Programme d’action de la CIPD ;</w:t>
      </w:r>
    </w:p>
    <w:p w:rsidR="001D71AD" w:rsidRPr="006A2B48" w:rsidRDefault="001D71AD" w:rsidP="00BB13A1">
      <w:pPr>
        <w:numPr>
          <w:ilvl w:val="0"/>
          <w:numId w:val="30"/>
        </w:numPr>
        <w:ind w:left="1890" w:right="720"/>
        <w:jc w:val="both"/>
        <w:rPr>
          <w:lang w:val="fr-FR"/>
        </w:rPr>
      </w:pPr>
      <w:r>
        <w:rPr>
          <w:lang w:val="fr-FR"/>
        </w:rPr>
        <w:t>« </w:t>
      </w:r>
      <w:r w:rsidRPr="006A2B48">
        <w:rPr>
          <w:lang w:val="fr-FR"/>
        </w:rPr>
        <w:t xml:space="preserve">Assistance financière ciblée sur les pays </w:t>
      </w:r>
      <w:r>
        <w:rPr>
          <w:lang w:val="fr-FR"/>
        </w:rPr>
        <w:t xml:space="preserve">qui ont le moins réalisé </w:t>
      </w:r>
      <w:r w:rsidRPr="006A2B48">
        <w:rPr>
          <w:lang w:val="fr-FR"/>
        </w:rPr>
        <w:t xml:space="preserve">l’agenda de la CIPD, </w:t>
      </w:r>
      <w:r>
        <w:rPr>
          <w:lang w:val="fr-FR"/>
        </w:rPr>
        <w:t xml:space="preserve">comme cela apparaît dans les objectifs du plan stratégique de l’UNFPA sur la population et le développement, la santé reproductive et la condition féminine </w:t>
      </w:r>
      <w:r w:rsidRPr="006A2B48">
        <w:rPr>
          <w:lang w:val="fr-FR"/>
        </w:rPr>
        <w:t>;</w:t>
      </w:r>
    </w:p>
    <w:p w:rsidR="001D71AD" w:rsidRPr="00AA0193" w:rsidRDefault="001D71AD" w:rsidP="00BB13A1">
      <w:pPr>
        <w:numPr>
          <w:ilvl w:val="0"/>
          <w:numId w:val="30"/>
        </w:numPr>
        <w:ind w:left="1890" w:right="720"/>
        <w:jc w:val="both"/>
        <w:rPr>
          <w:lang w:val="fr-FR"/>
        </w:rPr>
      </w:pPr>
      <w:r w:rsidRPr="00AA0193">
        <w:rPr>
          <w:lang w:val="fr-FR"/>
        </w:rPr>
        <w:t>« Élimination graduelle ou limitation de l’assistance financière au</w:t>
      </w:r>
      <w:r>
        <w:rPr>
          <w:lang w:val="fr-FR"/>
        </w:rPr>
        <w:t>x</w:t>
      </w:r>
      <w:r w:rsidRPr="00AA0193">
        <w:rPr>
          <w:lang w:val="fr-FR"/>
        </w:rPr>
        <w:t xml:space="preserve"> pays qui sont près d’</w:t>
      </w:r>
      <w:r>
        <w:rPr>
          <w:lang w:val="fr-FR"/>
        </w:rPr>
        <w:t>atteindre ou qui ont</w:t>
      </w:r>
      <w:r w:rsidRPr="00AA0193">
        <w:rPr>
          <w:lang w:val="fr-FR"/>
        </w:rPr>
        <w:t xml:space="preserve"> d</w:t>
      </w:r>
      <w:r>
        <w:rPr>
          <w:lang w:val="fr-FR"/>
        </w:rPr>
        <w:t xml:space="preserve">éjà surpassé les objectifs de la CIPD ; </w:t>
      </w:r>
    </w:p>
    <w:p w:rsidR="001D71AD" w:rsidRDefault="001D71AD" w:rsidP="00BB13A1">
      <w:pPr>
        <w:numPr>
          <w:ilvl w:val="0"/>
          <w:numId w:val="30"/>
        </w:numPr>
        <w:tabs>
          <w:tab w:val="num" w:pos="720"/>
        </w:tabs>
        <w:ind w:left="1890" w:right="720"/>
        <w:jc w:val="both"/>
        <w:rPr>
          <w:lang w:val="fr-FR"/>
        </w:rPr>
      </w:pPr>
      <w:r>
        <w:rPr>
          <w:lang w:val="fr-FR"/>
        </w:rPr>
        <w:t>« </w:t>
      </w:r>
      <w:r w:rsidRPr="00722E6D">
        <w:rPr>
          <w:lang w:val="fr-FR"/>
        </w:rPr>
        <w:t>Attention particulière aux pays à revenus très bas</w:t>
      </w:r>
      <w:r>
        <w:rPr>
          <w:lang w:val="fr-FR"/>
        </w:rPr>
        <w:t>,l</w:t>
      </w:r>
      <w:r w:rsidRPr="00722E6D">
        <w:rPr>
          <w:lang w:val="fr-FR"/>
        </w:rPr>
        <w:t>es PMA, l’Afrique sub-saharienne et les pa</w:t>
      </w:r>
      <w:r>
        <w:rPr>
          <w:lang w:val="fr-FR"/>
        </w:rPr>
        <w:t>y</w:t>
      </w:r>
      <w:r w:rsidRPr="00722E6D">
        <w:rPr>
          <w:lang w:val="fr-FR"/>
        </w:rPr>
        <w:t>s en situation d’urgence, en transition et en relèvement ;</w:t>
      </w:r>
    </w:p>
    <w:p w:rsidR="001D71AD" w:rsidRPr="00722E6D" w:rsidRDefault="001D71AD" w:rsidP="00BB13A1">
      <w:pPr>
        <w:numPr>
          <w:ilvl w:val="0"/>
          <w:numId w:val="30"/>
        </w:numPr>
        <w:ind w:left="1890" w:right="720"/>
        <w:jc w:val="both"/>
        <w:rPr>
          <w:lang w:val="fr-FR"/>
        </w:rPr>
      </w:pPr>
      <w:r>
        <w:rPr>
          <w:lang w:val="fr-FR"/>
        </w:rPr>
        <w:t>« P</w:t>
      </w:r>
      <w:r w:rsidRPr="00722E6D">
        <w:rPr>
          <w:lang w:val="fr-FR"/>
        </w:rPr>
        <w:t xml:space="preserve">romotion du renforcement des capacités nationales à travers la coopération Sud-Sud ; </w:t>
      </w:r>
    </w:p>
    <w:p w:rsidR="001D71AD" w:rsidRPr="00722E6D" w:rsidRDefault="001D71AD" w:rsidP="00BB13A1">
      <w:pPr>
        <w:numPr>
          <w:ilvl w:val="0"/>
          <w:numId w:val="30"/>
        </w:numPr>
        <w:tabs>
          <w:tab w:val="num" w:pos="720"/>
        </w:tabs>
        <w:ind w:left="1890" w:right="720"/>
        <w:jc w:val="both"/>
        <w:rPr>
          <w:lang w:val="fr-FR"/>
        </w:rPr>
      </w:pPr>
      <w:r>
        <w:rPr>
          <w:lang w:val="fr-FR"/>
        </w:rPr>
        <w:t>« F</w:t>
      </w:r>
      <w:r w:rsidRPr="00722E6D">
        <w:rPr>
          <w:lang w:val="fr-FR"/>
        </w:rPr>
        <w:t>ourniture d’assistance technique à tous les pays qui en font la demande.</w:t>
      </w:r>
      <w:r>
        <w:rPr>
          <w:lang w:val="fr-FR"/>
        </w:rPr>
        <w:t> »</w:t>
      </w:r>
    </w:p>
    <w:p w:rsidR="001D71AD" w:rsidRPr="00722E6D" w:rsidRDefault="001D71AD" w:rsidP="00F84D3B">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EB1266">
        <w:rPr>
          <w:lang w:val="fr-FR"/>
        </w:rPr>
        <w:t>Ces principes seront rendus opérationnels en partie par une série d’indicateurs en rapport avec les progr</w:t>
      </w:r>
      <w:r>
        <w:rPr>
          <w:lang w:val="fr-FR"/>
        </w:rPr>
        <w:t xml:space="preserve">ès réalisés sur le programme de la Conférence internationale sur la population et le développement comme l’indique le tableau 1. </w:t>
      </w:r>
    </w:p>
    <w:p w:rsidR="001D71AD" w:rsidRPr="0064045D" w:rsidRDefault="001D71AD" w:rsidP="00F84D3B">
      <w:pPr>
        <w:ind w:left="1080" w:right="720"/>
        <w:jc w:val="both"/>
        <w:rPr>
          <w:lang w:val="fr-FR"/>
        </w:rPr>
      </w:pPr>
    </w:p>
    <w:p w:rsidR="001D71AD" w:rsidRPr="003A5D85" w:rsidRDefault="001D71AD" w:rsidP="00F84D3B">
      <w:pPr>
        <w:ind w:left="1080" w:right="720"/>
        <w:jc w:val="both"/>
        <w:rPr>
          <w:b/>
          <w:lang w:val="fr-CA"/>
        </w:rPr>
      </w:pPr>
      <w:r w:rsidRPr="00F84D3B">
        <w:rPr>
          <w:b/>
          <w:lang w:val="en-US"/>
        </w:rPr>
        <w:t>Table</w:t>
      </w:r>
      <w:r>
        <w:rPr>
          <w:b/>
          <w:lang w:val="en-US"/>
        </w:rPr>
        <w:t xml:space="preserve">au </w:t>
      </w:r>
      <w:r w:rsidRPr="00F84D3B">
        <w:rPr>
          <w:b/>
          <w:lang w:val="en-US"/>
        </w:rPr>
        <w:t>1:</w:t>
      </w:r>
      <w:r w:rsidRPr="003A5D85">
        <w:rPr>
          <w:b/>
          <w:lang w:val="fr-CA"/>
        </w:rPr>
        <w:t>Critères</w:t>
      </w:r>
      <w:r>
        <w:rPr>
          <w:b/>
          <w:lang w:val="en-US"/>
        </w:rPr>
        <w:t xml:space="preserve"> SA</w:t>
      </w:r>
      <w:r w:rsidRPr="00F84D3B">
        <w:rPr>
          <w:b/>
          <w:lang w:val="en-US"/>
        </w:rPr>
        <w:t>R</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1890"/>
      </w:tblGrid>
      <w:tr w:rsidR="001D71AD" w:rsidRPr="00DF6B08" w:rsidTr="00DF6B08">
        <w:tc>
          <w:tcPr>
            <w:tcW w:w="5490" w:type="dxa"/>
          </w:tcPr>
          <w:p w:rsidR="001D71AD" w:rsidRPr="003A5D85" w:rsidRDefault="001D71AD" w:rsidP="00EB1266">
            <w:pPr>
              <w:ind w:right="720"/>
              <w:jc w:val="both"/>
              <w:rPr>
                <w:b/>
                <w:sz w:val="18"/>
                <w:lang w:val="fr-CA"/>
              </w:rPr>
            </w:pPr>
            <w:r w:rsidRPr="003A5D85">
              <w:rPr>
                <w:b/>
                <w:sz w:val="18"/>
                <w:lang w:val="fr-CA"/>
              </w:rPr>
              <w:t>Critère</w:t>
            </w:r>
          </w:p>
        </w:tc>
        <w:tc>
          <w:tcPr>
            <w:tcW w:w="1890" w:type="dxa"/>
          </w:tcPr>
          <w:p w:rsidR="001D71AD" w:rsidRPr="00DF6B08" w:rsidRDefault="001D71AD" w:rsidP="00EB1266">
            <w:pPr>
              <w:ind w:left="16"/>
              <w:jc w:val="both"/>
              <w:rPr>
                <w:b/>
                <w:sz w:val="18"/>
                <w:lang w:val="en-US"/>
              </w:rPr>
            </w:pPr>
            <w:r w:rsidRPr="003A5D85">
              <w:rPr>
                <w:b/>
                <w:sz w:val="18"/>
                <w:lang w:val="fr-CA"/>
              </w:rPr>
              <w:t>Seuil</w:t>
            </w:r>
          </w:p>
        </w:tc>
      </w:tr>
      <w:tr w:rsidR="001D71AD" w:rsidRPr="00DF6B08" w:rsidTr="00DF6B08">
        <w:tc>
          <w:tcPr>
            <w:tcW w:w="5490" w:type="dxa"/>
          </w:tcPr>
          <w:p w:rsidR="001D71AD" w:rsidRPr="00682192" w:rsidRDefault="001D71AD" w:rsidP="00BB13A1">
            <w:pPr>
              <w:numPr>
                <w:ilvl w:val="0"/>
                <w:numId w:val="6"/>
              </w:numPr>
              <w:ind w:left="432" w:right="720"/>
              <w:jc w:val="both"/>
              <w:rPr>
                <w:sz w:val="18"/>
                <w:lang w:val="fr-CA"/>
              </w:rPr>
            </w:pPr>
            <w:r w:rsidRPr="00682192">
              <w:rPr>
                <w:sz w:val="18"/>
                <w:lang w:val="fr-CA"/>
              </w:rPr>
              <w:t xml:space="preserve">Proportion d’accouchements en </w:t>
            </w:r>
            <w:r>
              <w:rPr>
                <w:sz w:val="18"/>
                <w:lang w:val="fr-CA"/>
              </w:rPr>
              <w:t>pré</w:t>
            </w:r>
            <w:r w:rsidRPr="00682192">
              <w:rPr>
                <w:sz w:val="18"/>
                <w:lang w:val="fr-CA"/>
              </w:rPr>
              <w:t xml:space="preserve">sence de personnel </w:t>
            </w:r>
            <w:r>
              <w:rPr>
                <w:sz w:val="18"/>
                <w:lang w:val="fr-CA"/>
              </w:rPr>
              <w:t>mé</w:t>
            </w:r>
            <w:r w:rsidRPr="00682192">
              <w:rPr>
                <w:sz w:val="18"/>
                <w:lang w:val="fr-CA"/>
              </w:rPr>
              <w:t xml:space="preserve">dical qualifié </w:t>
            </w:r>
          </w:p>
        </w:tc>
        <w:tc>
          <w:tcPr>
            <w:tcW w:w="1890" w:type="dxa"/>
            <w:vAlign w:val="center"/>
          </w:tcPr>
          <w:p w:rsidR="001D71AD" w:rsidRPr="00DF6B08" w:rsidRDefault="001D71AD" w:rsidP="00DF6B08">
            <w:pPr>
              <w:ind w:left="16"/>
              <w:jc w:val="both"/>
              <w:rPr>
                <w:sz w:val="18"/>
                <w:lang w:val="en-US"/>
              </w:rPr>
            </w:pPr>
            <w:r w:rsidRPr="00DF6B08">
              <w:rPr>
                <w:sz w:val="18"/>
                <w:u w:val="single"/>
              </w:rPr>
              <w:t>&gt;</w:t>
            </w:r>
            <w:r w:rsidRPr="00DF6B08">
              <w:rPr>
                <w:sz w:val="18"/>
              </w:rPr>
              <w:t xml:space="preserve"> 60%</w:t>
            </w:r>
          </w:p>
        </w:tc>
      </w:tr>
      <w:tr w:rsidR="001D71AD" w:rsidRPr="00DF6B08" w:rsidTr="00DF6B08">
        <w:tc>
          <w:tcPr>
            <w:tcW w:w="5490" w:type="dxa"/>
            <w:vAlign w:val="center"/>
          </w:tcPr>
          <w:p w:rsidR="001D71AD" w:rsidRPr="00682192" w:rsidRDefault="001D71AD" w:rsidP="00BB13A1">
            <w:pPr>
              <w:numPr>
                <w:ilvl w:val="0"/>
                <w:numId w:val="6"/>
              </w:numPr>
              <w:ind w:left="432" w:right="720"/>
              <w:jc w:val="both"/>
              <w:rPr>
                <w:sz w:val="18"/>
                <w:lang w:val="fr-CA"/>
              </w:rPr>
            </w:pPr>
            <w:r w:rsidRPr="00682192">
              <w:rPr>
                <w:sz w:val="18"/>
                <w:lang w:val="fr-CA"/>
              </w:rPr>
              <w:t>Taux de prévalence des contraceptifs (méthodes modernes uniquement)</w:t>
            </w:r>
          </w:p>
        </w:tc>
        <w:tc>
          <w:tcPr>
            <w:tcW w:w="1890" w:type="dxa"/>
            <w:vAlign w:val="center"/>
          </w:tcPr>
          <w:p w:rsidR="001D71AD" w:rsidRPr="00DF6B08" w:rsidRDefault="001D71AD" w:rsidP="00DF6B08">
            <w:pPr>
              <w:ind w:left="16"/>
              <w:jc w:val="both"/>
              <w:rPr>
                <w:sz w:val="18"/>
                <w:lang w:val="en-US"/>
              </w:rPr>
            </w:pPr>
            <w:r w:rsidRPr="00DF6B08">
              <w:rPr>
                <w:sz w:val="18"/>
                <w:u w:val="single"/>
              </w:rPr>
              <w:t>&gt;</w:t>
            </w:r>
            <w:r w:rsidRPr="00DF6B08">
              <w:rPr>
                <w:sz w:val="18"/>
              </w:rPr>
              <w:t xml:space="preserve"> 25%</w:t>
            </w:r>
          </w:p>
        </w:tc>
      </w:tr>
      <w:tr w:rsidR="001D71AD" w:rsidRPr="00DF6B08" w:rsidTr="00DF6B08">
        <w:tc>
          <w:tcPr>
            <w:tcW w:w="5490" w:type="dxa"/>
            <w:vAlign w:val="center"/>
          </w:tcPr>
          <w:p w:rsidR="001D71AD" w:rsidRPr="00EB1266" w:rsidRDefault="001D71AD" w:rsidP="00BB13A1">
            <w:pPr>
              <w:numPr>
                <w:ilvl w:val="0"/>
                <w:numId w:val="6"/>
              </w:numPr>
              <w:ind w:left="432" w:right="720"/>
              <w:jc w:val="both"/>
              <w:rPr>
                <w:sz w:val="18"/>
                <w:lang w:val="fr-FR"/>
              </w:rPr>
            </w:pPr>
            <w:r w:rsidRPr="00EB1266">
              <w:rPr>
                <w:sz w:val="18"/>
                <w:lang w:val="fr-FR"/>
              </w:rPr>
              <w:t>Prévalence du VIH chez les adultes</w:t>
            </w:r>
          </w:p>
        </w:tc>
        <w:tc>
          <w:tcPr>
            <w:tcW w:w="1890" w:type="dxa"/>
            <w:vAlign w:val="center"/>
          </w:tcPr>
          <w:p w:rsidR="001D71AD" w:rsidRPr="00DF6B08" w:rsidRDefault="001D71AD" w:rsidP="00DF6B08">
            <w:pPr>
              <w:ind w:left="16"/>
              <w:jc w:val="both"/>
              <w:rPr>
                <w:sz w:val="18"/>
                <w:lang w:val="en-US"/>
              </w:rPr>
            </w:pPr>
            <w:r w:rsidRPr="00DF6B08">
              <w:rPr>
                <w:sz w:val="18"/>
                <w:u w:val="single"/>
              </w:rPr>
              <w:t>&lt;</w:t>
            </w:r>
            <w:r w:rsidRPr="00DF6B08">
              <w:rPr>
                <w:sz w:val="18"/>
              </w:rPr>
              <w:t xml:space="preserve"> 5%</w:t>
            </w:r>
          </w:p>
        </w:tc>
      </w:tr>
      <w:tr w:rsidR="001D71AD" w:rsidRPr="00DF6B08" w:rsidTr="00DF6B08">
        <w:tc>
          <w:tcPr>
            <w:tcW w:w="5490" w:type="dxa"/>
            <w:vAlign w:val="center"/>
          </w:tcPr>
          <w:p w:rsidR="001D71AD" w:rsidRPr="00EB1266" w:rsidRDefault="001D71AD" w:rsidP="00BB13A1">
            <w:pPr>
              <w:numPr>
                <w:ilvl w:val="0"/>
                <w:numId w:val="6"/>
              </w:numPr>
              <w:ind w:left="432" w:right="720"/>
              <w:jc w:val="both"/>
              <w:rPr>
                <w:sz w:val="18"/>
                <w:lang w:val="fr-FR"/>
              </w:rPr>
            </w:pPr>
            <w:r w:rsidRPr="00EB1266">
              <w:rPr>
                <w:sz w:val="18"/>
                <w:lang w:val="fr-FR"/>
              </w:rPr>
              <w:t xml:space="preserve">Taux de fertilité des adolescents </w:t>
            </w:r>
          </w:p>
        </w:tc>
        <w:tc>
          <w:tcPr>
            <w:tcW w:w="1890" w:type="dxa"/>
            <w:vAlign w:val="center"/>
          </w:tcPr>
          <w:p w:rsidR="001D71AD" w:rsidRPr="00DF6B08" w:rsidRDefault="001D71AD" w:rsidP="00DF6B08">
            <w:pPr>
              <w:ind w:left="16"/>
              <w:jc w:val="both"/>
              <w:rPr>
                <w:sz w:val="18"/>
                <w:lang w:val="en-US"/>
              </w:rPr>
            </w:pPr>
            <w:r w:rsidRPr="00DF6B08">
              <w:rPr>
                <w:sz w:val="18"/>
                <w:u w:val="single"/>
              </w:rPr>
              <w:t>&lt;</w:t>
            </w:r>
            <w:r w:rsidRPr="00DF6B08">
              <w:rPr>
                <w:sz w:val="18"/>
              </w:rPr>
              <w:t xml:space="preserve"> 65/1000</w:t>
            </w:r>
          </w:p>
        </w:tc>
      </w:tr>
      <w:tr w:rsidR="001D71AD" w:rsidRPr="00DF6B08" w:rsidTr="00DF6B08">
        <w:tc>
          <w:tcPr>
            <w:tcW w:w="5490" w:type="dxa"/>
            <w:vAlign w:val="center"/>
          </w:tcPr>
          <w:p w:rsidR="001D71AD" w:rsidRPr="00EB1266" w:rsidRDefault="001D71AD" w:rsidP="00BB13A1">
            <w:pPr>
              <w:numPr>
                <w:ilvl w:val="0"/>
                <w:numId w:val="6"/>
              </w:numPr>
              <w:ind w:left="432" w:right="720"/>
              <w:jc w:val="both"/>
              <w:rPr>
                <w:sz w:val="18"/>
                <w:lang w:val="fr-FR"/>
              </w:rPr>
            </w:pPr>
            <w:r w:rsidRPr="00EB1266">
              <w:rPr>
                <w:sz w:val="18"/>
                <w:lang w:val="fr-FR"/>
              </w:rPr>
              <w:t>Taux de mortalité des moins de 5 ans</w:t>
            </w:r>
          </w:p>
        </w:tc>
        <w:tc>
          <w:tcPr>
            <w:tcW w:w="1890" w:type="dxa"/>
            <w:vAlign w:val="center"/>
          </w:tcPr>
          <w:p w:rsidR="001D71AD" w:rsidRPr="00DF6B08" w:rsidRDefault="001D71AD" w:rsidP="00DF6B08">
            <w:pPr>
              <w:ind w:left="16"/>
              <w:jc w:val="both"/>
              <w:rPr>
                <w:sz w:val="18"/>
                <w:lang w:val="en-US"/>
              </w:rPr>
            </w:pPr>
            <w:r w:rsidRPr="00DF6B08">
              <w:rPr>
                <w:sz w:val="18"/>
                <w:u w:val="single"/>
              </w:rPr>
              <w:t>&lt;</w:t>
            </w:r>
            <w:r w:rsidRPr="00DF6B08">
              <w:rPr>
                <w:sz w:val="18"/>
              </w:rPr>
              <w:t xml:space="preserve"> 60/1000</w:t>
            </w:r>
          </w:p>
        </w:tc>
      </w:tr>
      <w:tr w:rsidR="001D71AD" w:rsidRPr="00DF6B08" w:rsidTr="00DF6B08">
        <w:tc>
          <w:tcPr>
            <w:tcW w:w="5490" w:type="dxa"/>
            <w:vAlign w:val="center"/>
          </w:tcPr>
          <w:p w:rsidR="001D71AD" w:rsidRPr="00682192" w:rsidRDefault="001D71AD" w:rsidP="00BB13A1">
            <w:pPr>
              <w:numPr>
                <w:ilvl w:val="0"/>
                <w:numId w:val="6"/>
              </w:numPr>
              <w:ind w:left="432" w:right="720"/>
              <w:jc w:val="both"/>
              <w:rPr>
                <w:sz w:val="18"/>
                <w:lang w:val="fr-CA"/>
              </w:rPr>
            </w:pPr>
            <w:r w:rsidRPr="00682192">
              <w:rPr>
                <w:sz w:val="18"/>
                <w:lang w:val="fr-CA"/>
              </w:rPr>
              <w:t xml:space="preserve">Proportion de mortalité maternelle </w:t>
            </w:r>
          </w:p>
        </w:tc>
        <w:tc>
          <w:tcPr>
            <w:tcW w:w="1890" w:type="dxa"/>
            <w:vAlign w:val="center"/>
          </w:tcPr>
          <w:p w:rsidR="001D71AD" w:rsidRPr="00DF6B08" w:rsidRDefault="001D71AD" w:rsidP="00DF6B08">
            <w:pPr>
              <w:ind w:left="16"/>
              <w:jc w:val="both"/>
              <w:rPr>
                <w:sz w:val="18"/>
                <w:lang w:val="en-US"/>
              </w:rPr>
            </w:pPr>
            <w:r w:rsidRPr="00DF6B08">
              <w:rPr>
                <w:sz w:val="18"/>
                <w:u w:val="single"/>
              </w:rPr>
              <w:t>&lt;</w:t>
            </w:r>
            <w:r>
              <w:rPr>
                <w:sz w:val="18"/>
              </w:rPr>
              <w:t xml:space="preserve"> 100/100 </w:t>
            </w:r>
            <w:r w:rsidRPr="00DF6B08">
              <w:rPr>
                <w:sz w:val="18"/>
              </w:rPr>
              <w:t>000</w:t>
            </w:r>
          </w:p>
        </w:tc>
      </w:tr>
      <w:tr w:rsidR="001D71AD" w:rsidRPr="00DF6B08" w:rsidTr="00DF6B08">
        <w:tc>
          <w:tcPr>
            <w:tcW w:w="5490" w:type="dxa"/>
            <w:vAlign w:val="center"/>
          </w:tcPr>
          <w:p w:rsidR="001D71AD" w:rsidRPr="00682192" w:rsidRDefault="001D71AD" w:rsidP="00BB13A1">
            <w:pPr>
              <w:numPr>
                <w:ilvl w:val="0"/>
                <w:numId w:val="6"/>
              </w:numPr>
              <w:ind w:left="432" w:right="720"/>
              <w:jc w:val="both"/>
              <w:rPr>
                <w:sz w:val="18"/>
                <w:lang w:val="fr-CA"/>
              </w:rPr>
            </w:pPr>
            <w:r w:rsidRPr="00682192">
              <w:rPr>
                <w:sz w:val="18"/>
                <w:lang w:val="fr-CA"/>
              </w:rPr>
              <w:t xml:space="preserve">Taux d’alphabétisation des filles/femmes de 15 à 24 ans </w:t>
            </w:r>
          </w:p>
        </w:tc>
        <w:tc>
          <w:tcPr>
            <w:tcW w:w="1890" w:type="dxa"/>
            <w:vAlign w:val="center"/>
          </w:tcPr>
          <w:p w:rsidR="001D71AD" w:rsidRPr="00DF6B08" w:rsidRDefault="001D71AD" w:rsidP="00DF6B08">
            <w:pPr>
              <w:ind w:left="16"/>
              <w:jc w:val="both"/>
              <w:rPr>
                <w:sz w:val="18"/>
                <w:lang w:val="en-US"/>
              </w:rPr>
            </w:pPr>
            <w:r w:rsidRPr="00DF6B08">
              <w:rPr>
                <w:sz w:val="18"/>
                <w:u w:val="single"/>
              </w:rPr>
              <w:t>&gt;</w:t>
            </w:r>
            <w:r w:rsidRPr="00DF6B08">
              <w:rPr>
                <w:sz w:val="18"/>
              </w:rPr>
              <w:t xml:space="preserve"> 80%</w:t>
            </w:r>
          </w:p>
        </w:tc>
      </w:tr>
      <w:tr w:rsidR="001D71AD" w:rsidRPr="00DF6B08" w:rsidTr="00DF6B08">
        <w:tc>
          <w:tcPr>
            <w:tcW w:w="5490" w:type="dxa"/>
            <w:vAlign w:val="center"/>
          </w:tcPr>
          <w:p w:rsidR="001D71AD" w:rsidRPr="00682192" w:rsidRDefault="001D71AD" w:rsidP="00BB13A1">
            <w:pPr>
              <w:numPr>
                <w:ilvl w:val="0"/>
                <w:numId w:val="6"/>
              </w:numPr>
              <w:ind w:left="432" w:right="720"/>
              <w:jc w:val="both"/>
              <w:rPr>
                <w:sz w:val="18"/>
                <w:lang w:val="fr-FR"/>
              </w:rPr>
            </w:pPr>
            <w:r w:rsidRPr="00682192">
              <w:rPr>
                <w:sz w:val="18"/>
                <w:lang w:val="fr-FR"/>
              </w:rPr>
              <w:t>Proportion de la population âgée de 10 à 24 ans</w:t>
            </w:r>
          </w:p>
        </w:tc>
        <w:tc>
          <w:tcPr>
            <w:tcW w:w="1890" w:type="dxa"/>
            <w:vAlign w:val="center"/>
          </w:tcPr>
          <w:p w:rsidR="001D71AD" w:rsidRPr="00DF6B08" w:rsidRDefault="001D71AD" w:rsidP="00DF6B08">
            <w:pPr>
              <w:ind w:left="16"/>
              <w:jc w:val="both"/>
              <w:rPr>
                <w:sz w:val="18"/>
                <w:lang w:val="en-US"/>
              </w:rPr>
            </w:pPr>
            <w:r w:rsidRPr="00DF6B08">
              <w:rPr>
                <w:sz w:val="18"/>
                <w:u w:val="single"/>
              </w:rPr>
              <w:t>&lt;</w:t>
            </w:r>
            <w:r w:rsidRPr="00DF6B08">
              <w:rPr>
                <w:sz w:val="18"/>
              </w:rPr>
              <w:t xml:space="preserve"> 33%</w:t>
            </w:r>
          </w:p>
        </w:tc>
      </w:tr>
    </w:tbl>
    <w:p w:rsidR="001D71AD" w:rsidRPr="00F84D3B" w:rsidRDefault="001D71AD" w:rsidP="000C2D95">
      <w:pPr>
        <w:ind w:left="1080" w:right="720"/>
        <w:jc w:val="both"/>
        <w:rPr>
          <w:lang w:val="en-US"/>
        </w:rPr>
      </w:pPr>
    </w:p>
    <w:p w:rsidR="001D71AD" w:rsidRPr="006C65EE" w:rsidRDefault="001D71AD" w:rsidP="00BB13A1">
      <w:pPr>
        <w:numPr>
          <w:ilvl w:val="0"/>
          <w:numId w:val="4"/>
        </w:numPr>
        <w:ind w:left="1080" w:right="720" w:firstLine="0"/>
        <w:jc w:val="both"/>
        <w:rPr>
          <w:lang w:val="fr-FR"/>
        </w:rPr>
      </w:pPr>
      <w:r w:rsidRPr="007437B4">
        <w:rPr>
          <w:lang w:val="fr-FR"/>
        </w:rPr>
        <w:t>Une fois l</w:t>
      </w:r>
      <w:r>
        <w:rPr>
          <w:lang w:val="fr-FR"/>
        </w:rPr>
        <w:t xml:space="preserve">a situation </w:t>
      </w:r>
      <w:r w:rsidRPr="007437B4">
        <w:rPr>
          <w:lang w:val="fr-FR"/>
        </w:rPr>
        <w:t>de chacun des pays du programme évalué</w:t>
      </w:r>
      <w:r>
        <w:rPr>
          <w:lang w:val="fr-FR"/>
        </w:rPr>
        <w:t>e à l’aide des indicateurs, ils sont placé</w:t>
      </w:r>
      <w:r w:rsidRPr="007437B4">
        <w:rPr>
          <w:lang w:val="fr-FR"/>
        </w:rPr>
        <w:t xml:space="preserve">s dans trois catégories comme l’indique le tableau 2 qui comprend aussi la </w:t>
      </w:r>
      <w:r>
        <w:rPr>
          <w:lang w:val="fr-FR"/>
        </w:rPr>
        <w:t>ré</w:t>
      </w:r>
      <w:r w:rsidRPr="007437B4">
        <w:rPr>
          <w:lang w:val="fr-FR"/>
        </w:rPr>
        <w:t xml:space="preserve">partition des pays, des personnes et des ressources de base par groupe. </w:t>
      </w:r>
    </w:p>
    <w:p w:rsidR="001D71AD" w:rsidRPr="006C65EE" w:rsidRDefault="001D71AD" w:rsidP="000C2D95">
      <w:pPr>
        <w:ind w:left="1080" w:right="720"/>
        <w:jc w:val="both"/>
        <w:rPr>
          <w:lang w:val="fr-FR"/>
        </w:rPr>
      </w:pPr>
    </w:p>
    <w:p w:rsidR="001D71AD" w:rsidRPr="00F84D3B" w:rsidRDefault="001D71AD" w:rsidP="000C2D95">
      <w:pPr>
        <w:ind w:left="1080" w:right="720"/>
        <w:jc w:val="both"/>
        <w:rPr>
          <w:b/>
          <w:lang w:val="en-US"/>
        </w:rPr>
      </w:pPr>
      <w:r w:rsidRPr="00F84D3B">
        <w:rPr>
          <w:b/>
          <w:lang w:val="en-US"/>
        </w:rPr>
        <w:t>Table</w:t>
      </w:r>
      <w:r>
        <w:rPr>
          <w:b/>
          <w:lang w:val="en-US"/>
        </w:rPr>
        <w:t>au</w:t>
      </w:r>
      <w:r w:rsidRPr="00F84D3B">
        <w:rPr>
          <w:b/>
          <w:lang w:val="en-US"/>
        </w:rPr>
        <w:t xml:space="preserve"> 2:</w:t>
      </w:r>
      <w:r w:rsidRPr="003A5D85">
        <w:rPr>
          <w:b/>
          <w:lang w:val="fr-CA"/>
        </w:rPr>
        <w:t>Groupes</w:t>
      </w:r>
      <w:r w:rsidRPr="00F84D3B">
        <w:rPr>
          <w:b/>
          <w:lang w:val="en-US"/>
        </w:rPr>
        <w:t>S</w:t>
      </w:r>
      <w:r>
        <w:rPr>
          <w:b/>
          <w:lang w:val="en-US"/>
        </w:rPr>
        <w:t>AR</w:t>
      </w:r>
    </w:p>
    <w:tbl>
      <w:tblPr>
        <w:tblW w:w="7380"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1845"/>
        <w:gridCol w:w="1845"/>
        <w:gridCol w:w="1845"/>
      </w:tblGrid>
      <w:tr w:rsidR="001D71AD" w:rsidRPr="003A5D85" w:rsidTr="00DF6B08">
        <w:trPr>
          <w:trHeight w:val="125"/>
        </w:trPr>
        <w:tc>
          <w:tcPr>
            <w:tcW w:w="1845" w:type="dxa"/>
          </w:tcPr>
          <w:p w:rsidR="001D71AD" w:rsidRPr="00DF6B08" w:rsidRDefault="001D71AD" w:rsidP="00D13353">
            <w:pPr>
              <w:rPr>
                <w:b/>
                <w:sz w:val="18"/>
                <w:lang w:val="en-US"/>
              </w:rPr>
            </w:pPr>
          </w:p>
        </w:tc>
        <w:tc>
          <w:tcPr>
            <w:tcW w:w="1845" w:type="dxa"/>
          </w:tcPr>
          <w:p w:rsidR="001D71AD" w:rsidRPr="003A5D85" w:rsidRDefault="001D71AD" w:rsidP="00DF6B08">
            <w:pPr>
              <w:ind w:left="13"/>
              <w:rPr>
                <w:b/>
                <w:sz w:val="18"/>
                <w:lang w:val="fr-CA"/>
              </w:rPr>
            </w:pPr>
            <w:r w:rsidRPr="00DF6B08">
              <w:rPr>
                <w:b/>
                <w:bCs/>
                <w:sz w:val="18"/>
                <w:lang w:val="en-US"/>
              </w:rPr>
              <w:t>Group</w:t>
            </w:r>
            <w:r>
              <w:rPr>
                <w:b/>
                <w:bCs/>
                <w:sz w:val="18"/>
                <w:lang w:val="en-US"/>
              </w:rPr>
              <w:t>e</w:t>
            </w:r>
            <w:r w:rsidRPr="00DF6B08">
              <w:rPr>
                <w:b/>
                <w:bCs/>
                <w:sz w:val="18"/>
                <w:lang w:val="en-US"/>
              </w:rPr>
              <w:t xml:space="preserve"> A</w:t>
            </w:r>
          </w:p>
        </w:tc>
        <w:tc>
          <w:tcPr>
            <w:tcW w:w="1845" w:type="dxa"/>
          </w:tcPr>
          <w:p w:rsidR="001D71AD" w:rsidRPr="003A5D85" w:rsidRDefault="001D71AD" w:rsidP="00DF6B08">
            <w:pPr>
              <w:ind w:left="-20"/>
              <w:rPr>
                <w:b/>
                <w:sz w:val="18"/>
                <w:lang w:val="fr-CA"/>
              </w:rPr>
            </w:pPr>
            <w:r w:rsidRPr="003A5D85">
              <w:rPr>
                <w:b/>
                <w:bCs/>
                <w:sz w:val="18"/>
                <w:lang w:val="fr-CA"/>
              </w:rPr>
              <w:t>Groupe</w:t>
            </w:r>
            <w:r w:rsidRPr="00DF6B08">
              <w:rPr>
                <w:b/>
                <w:bCs/>
                <w:sz w:val="18"/>
                <w:lang w:val="en-US"/>
              </w:rPr>
              <w:t xml:space="preserve"> B</w:t>
            </w:r>
          </w:p>
        </w:tc>
        <w:tc>
          <w:tcPr>
            <w:tcW w:w="1845" w:type="dxa"/>
          </w:tcPr>
          <w:p w:rsidR="001D71AD" w:rsidRPr="00DF6B08" w:rsidRDefault="001D71AD" w:rsidP="00DF6B08">
            <w:pPr>
              <w:ind w:left="5"/>
              <w:rPr>
                <w:b/>
                <w:sz w:val="18"/>
                <w:lang w:val="en-US"/>
              </w:rPr>
            </w:pPr>
            <w:r w:rsidRPr="003A5D85">
              <w:rPr>
                <w:b/>
                <w:bCs/>
                <w:sz w:val="18"/>
                <w:lang w:val="fr-CA"/>
              </w:rPr>
              <w:t>Groupe</w:t>
            </w:r>
            <w:r w:rsidRPr="00DF6B08">
              <w:rPr>
                <w:b/>
                <w:bCs/>
                <w:sz w:val="18"/>
                <w:lang w:val="en-US"/>
              </w:rPr>
              <w:t xml:space="preserve"> C</w:t>
            </w:r>
          </w:p>
        </w:tc>
      </w:tr>
      <w:tr w:rsidR="001D71AD" w:rsidRPr="003A5D85" w:rsidTr="00DF6B08">
        <w:trPr>
          <w:trHeight w:val="332"/>
        </w:trPr>
        <w:tc>
          <w:tcPr>
            <w:tcW w:w="1845" w:type="dxa"/>
          </w:tcPr>
          <w:p w:rsidR="001D71AD" w:rsidRPr="003A5D85" w:rsidRDefault="001D71AD" w:rsidP="006C65EE">
            <w:pPr>
              <w:rPr>
                <w:b/>
                <w:sz w:val="18"/>
                <w:lang w:val="fr-CA"/>
              </w:rPr>
            </w:pPr>
            <w:r w:rsidRPr="003A5D85">
              <w:rPr>
                <w:b/>
                <w:bCs/>
                <w:sz w:val="18"/>
                <w:lang w:val="fr-CA"/>
              </w:rPr>
              <w:t>Critère</w:t>
            </w:r>
          </w:p>
        </w:tc>
        <w:tc>
          <w:tcPr>
            <w:tcW w:w="1845" w:type="dxa"/>
          </w:tcPr>
          <w:p w:rsidR="001D71AD" w:rsidRPr="003A5D85" w:rsidRDefault="001D71AD" w:rsidP="00BB13A1">
            <w:pPr>
              <w:numPr>
                <w:ilvl w:val="0"/>
                <w:numId w:val="7"/>
              </w:numPr>
              <w:ind w:left="207" w:hanging="180"/>
              <w:rPr>
                <w:sz w:val="18"/>
                <w:lang w:val="fr-CA"/>
              </w:rPr>
            </w:pPr>
            <w:r w:rsidRPr="003A5D85">
              <w:rPr>
                <w:sz w:val="18"/>
                <w:lang w:val="fr-CA"/>
              </w:rPr>
              <w:t>Respecter jusqu’à 4 minimums</w:t>
            </w:r>
            <w:r>
              <w:rPr>
                <w:sz w:val="18"/>
                <w:lang w:val="fr-CA"/>
              </w:rPr>
              <w:t xml:space="preserve"> (ou seuils)</w:t>
            </w:r>
          </w:p>
          <w:p w:rsidR="001D71AD" w:rsidRPr="003A5D85" w:rsidRDefault="001D71AD" w:rsidP="00BB13A1">
            <w:pPr>
              <w:numPr>
                <w:ilvl w:val="0"/>
                <w:numId w:val="7"/>
              </w:numPr>
              <w:ind w:left="207" w:hanging="180"/>
              <w:rPr>
                <w:sz w:val="18"/>
                <w:lang w:val="fr-CA"/>
              </w:rPr>
            </w:pPr>
            <w:r w:rsidRPr="003A5D85">
              <w:rPr>
                <w:sz w:val="18"/>
                <w:lang w:val="fr-CA"/>
              </w:rPr>
              <w:t>Tous les PMA</w:t>
            </w:r>
          </w:p>
        </w:tc>
        <w:tc>
          <w:tcPr>
            <w:tcW w:w="1845" w:type="dxa"/>
          </w:tcPr>
          <w:p w:rsidR="001D71AD" w:rsidRPr="003A5D85" w:rsidRDefault="001D71AD" w:rsidP="00FC510C">
            <w:pPr>
              <w:ind w:left="-20"/>
              <w:rPr>
                <w:sz w:val="18"/>
                <w:lang w:val="fr-CA"/>
              </w:rPr>
            </w:pPr>
            <w:r w:rsidRPr="003A5D85">
              <w:rPr>
                <w:sz w:val="18"/>
                <w:lang w:val="fr-CA"/>
              </w:rPr>
              <w:t xml:space="preserve">Respecter jusqu’à </w:t>
            </w:r>
            <w:r w:rsidRPr="003A5D85">
              <w:rPr>
                <w:bCs/>
                <w:sz w:val="18"/>
                <w:lang w:val="fr-CA"/>
              </w:rPr>
              <w:t>5-7 minimums</w:t>
            </w:r>
          </w:p>
        </w:tc>
        <w:tc>
          <w:tcPr>
            <w:tcW w:w="1845" w:type="dxa"/>
          </w:tcPr>
          <w:p w:rsidR="001D71AD" w:rsidRPr="003A5D85" w:rsidRDefault="001D71AD" w:rsidP="00FC510C">
            <w:pPr>
              <w:ind w:left="5"/>
              <w:rPr>
                <w:sz w:val="18"/>
                <w:lang w:val="fr-CA"/>
              </w:rPr>
            </w:pPr>
            <w:r w:rsidRPr="003A5D85">
              <w:rPr>
                <w:sz w:val="18"/>
                <w:lang w:val="fr-CA"/>
              </w:rPr>
              <w:t xml:space="preserve">Respecter les </w:t>
            </w:r>
            <w:r w:rsidRPr="003A5D85">
              <w:rPr>
                <w:bCs/>
                <w:sz w:val="18"/>
                <w:lang w:val="fr-CA"/>
              </w:rPr>
              <w:t>8</w:t>
            </w:r>
            <w:r w:rsidRPr="003A5D85">
              <w:rPr>
                <w:sz w:val="18"/>
                <w:lang w:val="fr-CA"/>
              </w:rPr>
              <w:t>minimums</w:t>
            </w:r>
          </w:p>
        </w:tc>
      </w:tr>
      <w:tr w:rsidR="001D71AD" w:rsidRPr="003A5D85" w:rsidTr="00DF6B08">
        <w:trPr>
          <w:trHeight w:val="107"/>
        </w:trPr>
        <w:tc>
          <w:tcPr>
            <w:tcW w:w="1845" w:type="dxa"/>
          </w:tcPr>
          <w:p w:rsidR="001D71AD" w:rsidRPr="003A5D85" w:rsidRDefault="001D71AD" w:rsidP="006266F9">
            <w:pPr>
              <w:rPr>
                <w:b/>
                <w:sz w:val="18"/>
                <w:lang w:val="fr-CA"/>
              </w:rPr>
            </w:pPr>
            <w:r w:rsidRPr="003A5D85">
              <w:rPr>
                <w:b/>
                <w:bCs/>
                <w:sz w:val="18"/>
                <w:lang w:val="fr-CA"/>
              </w:rPr>
              <w:t>Nombre de pays</w:t>
            </w:r>
          </w:p>
        </w:tc>
        <w:tc>
          <w:tcPr>
            <w:tcW w:w="1845" w:type="dxa"/>
          </w:tcPr>
          <w:p w:rsidR="001D71AD" w:rsidRPr="003A5D85" w:rsidRDefault="001D71AD" w:rsidP="00DF6B08">
            <w:pPr>
              <w:ind w:left="13"/>
              <w:rPr>
                <w:sz w:val="18"/>
                <w:lang w:val="fr-CA"/>
              </w:rPr>
            </w:pPr>
            <w:r w:rsidRPr="003A5D85">
              <w:rPr>
                <w:sz w:val="18"/>
                <w:lang w:val="fr-CA"/>
              </w:rPr>
              <w:t>66</w:t>
            </w:r>
          </w:p>
        </w:tc>
        <w:tc>
          <w:tcPr>
            <w:tcW w:w="1845" w:type="dxa"/>
          </w:tcPr>
          <w:p w:rsidR="001D71AD" w:rsidRPr="003A5D85" w:rsidRDefault="001D71AD" w:rsidP="00DF6B08">
            <w:pPr>
              <w:ind w:left="-20"/>
              <w:rPr>
                <w:sz w:val="18"/>
                <w:lang w:val="fr-CA"/>
              </w:rPr>
            </w:pPr>
            <w:r w:rsidRPr="003A5D85">
              <w:rPr>
                <w:sz w:val="18"/>
                <w:lang w:val="fr-CA"/>
              </w:rPr>
              <w:t>41</w:t>
            </w:r>
          </w:p>
        </w:tc>
        <w:tc>
          <w:tcPr>
            <w:tcW w:w="1845" w:type="dxa"/>
          </w:tcPr>
          <w:p w:rsidR="001D71AD" w:rsidRPr="003A5D85" w:rsidRDefault="001D71AD" w:rsidP="00DF6B08">
            <w:pPr>
              <w:ind w:left="5"/>
              <w:rPr>
                <w:sz w:val="18"/>
                <w:lang w:val="fr-CA"/>
              </w:rPr>
            </w:pPr>
            <w:r w:rsidRPr="003A5D85">
              <w:rPr>
                <w:sz w:val="18"/>
                <w:lang w:val="fr-CA"/>
              </w:rPr>
              <w:t>26</w:t>
            </w:r>
          </w:p>
        </w:tc>
      </w:tr>
      <w:tr w:rsidR="001D71AD" w:rsidRPr="003A5D85" w:rsidTr="00DF6B08">
        <w:trPr>
          <w:trHeight w:val="170"/>
        </w:trPr>
        <w:tc>
          <w:tcPr>
            <w:tcW w:w="1845" w:type="dxa"/>
          </w:tcPr>
          <w:p w:rsidR="001D71AD" w:rsidRPr="003A5D85" w:rsidRDefault="001D71AD" w:rsidP="00CE14A7">
            <w:pPr>
              <w:rPr>
                <w:b/>
                <w:sz w:val="18"/>
                <w:lang w:val="fr-CA"/>
              </w:rPr>
            </w:pPr>
            <w:r w:rsidRPr="003A5D85">
              <w:rPr>
                <w:b/>
                <w:bCs/>
                <w:sz w:val="18"/>
                <w:lang w:val="fr-CA"/>
              </w:rPr>
              <w:t>P</w:t>
            </w:r>
            <w:r>
              <w:rPr>
                <w:b/>
                <w:bCs/>
                <w:sz w:val="18"/>
                <w:lang w:val="fr-CA"/>
              </w:rPr>
              <w:t xml:space="preserve">ourcentage </w:t>
            </w:r>
            <w:r w:rsidRPr="003A5D85">
              <w:rPr>
                <w:b/>
                <w:bCs/>
                <w:sz w:val="18"/>
                <w:lang w:val="fr-CA"/>
              </w:rPr>
              <w:t>de la population</w:t>
            </w:r>
          </w:p>
        </w:tc>
        <w:tc>
          <w:tcPr>
            <w:tcW w:w="1845" w:type="dxa"/>
          </w:tcPr>
          <w:p w:rsidR="001D71AD" w:rsidRPr="003A5D85" w:rsidRDefault="001D71AD" w:rsidP="00DF6B08">
            <w:pPr>
              <w:ind w:left="13"/>
              <w:rPr>
                <w:sz w:val="18"/>
                <w:lang w:val="fr-CA"/>
              </w:rPr>
            </w:pPr>
            <w:r w:rsidRPr="003A5D85">
              <w:rPr>
                <w:sz w:val="18"/>
                <w:lang w:val="fr-CA"/>
              </w:rPr>
              <w:t>43%</w:t>
            </w:r>
          </w:p>
        </w:tc>
        <w:tc>
          <w:tcPr>
            <w:tcW w:w="1845" w:type="dxa"/>
          </w:tcPr>
          <w:p w:rsidR="001D71AD" w:rsidRPr="003A5D85" w:rsidRDefault="001D71AD" w:rsidP="00DF6B08">
            <w:pPr>
              <w:ind w:left="-20"/>
              <w:rPr>
                <w:sz w:val="18"/>
                <w:lang w:val="fr-CA"/>
              </w:rPr>
            </w:pPr>
            <w:r w:rsidRPr="003A5D85">
              <w:rPr>
                <w:sz w:val="18"/>
                <w:lang w:val="fr-CA"/>
              </w:rPr>
              <w:t>21%</w:t>
            </w:r>
          </w:p>
        </w:tc>
        <w:tc>
          <w:tcPr>
            <w:tcW w:w="1845" w:type="dxa"/>
          </w:tcPr>
          <w:p w:rsidR="001D71AD" w:rsidRPr="003A5D85" w:rsidRDefault="001D71AD" w:rsidP="00DF6B08">
            <w:pPr>
              <w:ind w:left="5"/>
              <w:rPr>
                <w:sz w:val="18"/>
                <w:lang w:val="fr-CA"/>
              </w:rPr>
            </w:pPr>
            <w:r w:rsidRPr="003A5D85">
              <w:rPr>
                <w:sz w:val="18"/>
                <w:lang w:val="fr-CA"/>
              </w:rPr>
              <w:t>35%</w:t>
            </w:r>
          </w:p>
        </w:tc>
      </w:tr>
      <w:tr w:rsidR="001D71AD" w:rsidRPr="003A5D85" w:rsidTr="00DF6B08">
        <w:trPr>
          <w:trHeight w:val="287"/>
        </w:trPr>
        <w:tc>
          <w:tcPr>
            <w:tcW w:w="1845" w:type="dxa"/>
          </w:tcPr>
          <w:p w:rsidR="001D71AD" w:rsidRPr="003A5D85" w:rsidRDefault="001D71AD" w:rsidP="00CE14A7">
            <w:pPr>
              <w:rPr>
                <w:b/>
                <w:sz w:val="18"/>
                <w:lang w:val="fr-CA"/>
              </w:rPr>
            </w:pPr>
            <w:r w:rsidRPr="003A5D85">
              <w:rPr>
                <w:b/>
                <w:bCs/>
                <w:sz w:val="18"/>
                <w:lang w:val="fr-CA"/>
              </w:rPr>
              <w:t>P</w:t>
            </w:r>
            <w:r>
              <w:rPr>
                <w:b/>
                <w:bCs/>
                <w:sz w:val="18"/>
                <w:lang w:val="fr-CA"/>
              </w:rPr>
              <w:t xml:space="preserve">ourcentage </w:t>
            </w:r>
            <w:r w:rsidRPr="003A5D85">
              <w:rPr>
                <w:b/>
                <w:bCs/>
                <w:sz w:val="18"/>
                <w:lang w:val="fr-CA"/>
              </w:rPr>
              <w:t xml:space="preserve">des ressources de base </w:t>
            </w:r>
          </w:p>
        </w:tc>
        <w:tc>
          <w:tcPr>
            <w:tcW w:w="1845" w:type="dxa"/>
          </w:tcPr>
          <w:p w:rsidR="001D71AD" w:rsidRPr="003A5D85" w:rsidRDefault="001D71AD" w:rsidP="00DF6B08">
            <w:pPr>
              <w:ind w:left="13"/>
              <w:rPr>
                <w:sz w:val="18"/>
                <w:lang w:val="fr-CA"/>
              </w:rPr>
            </w:pPr>
            <w:r w:rsidRPr="003A5D85">
              <w:rPr>
                <w:sz w:val="18"/>
                <w:lang w:val="fr-CA"/>
              </w:rPr>
              <w:t>71 – 73%</w:t>
            </w:r>
          </w:p>
        </w:tc>
        <w:tc>
          <w:tcPr>
            <w:tcW w:w="1845" w:type="dxa"/>
          </w:tcPr>
          <w:p w:rsidR="001D71AD" w:rsidRPr="003A5D85" w:rsidRDefault="001D71AD" w:rsidP="00DF6B08">
            <w:pPr>
              <w:ind w:left="-20"/>
              <w:rPr>
                <w:sz w:val="18"/>
                <w:lang w:val="fr-CA"/>
              </w:rPr>
            </w:pPr>
            <w:r w:rsidRPr="003A5D85">
              <w:rPr>
                <w:sz w:val="18"/>
                <w:lang w:val="fr-CA"/>
              </w:rPr>
              <w:t>21 – 22%</w:t>
            </w:r>
          </w:p>
        </w:tc>
        <w:tc>
          <w:tcPr>
            <w:tcW w:w="1845" w:type="dxa"/>
          </w:tcPr>
          <w:p w:rsidR="001D71AD" w:rsidRPr="003A5D85" w:rsidRDefault="001D71AD" w:rsidP="00DF6B08">
            <w:pPr>
              <w:ind w:left="5"/>
              <w:rPr>
                <w:sz w:val="18"/>
                <w:lang w:val="fr-CA"/>
              </w:rPr>
            </w:pPr>
            <w:r w:rsidRPr="003A5D85">
              <w:rPr>
                <w:sz w:val="18"/>
                <w:lang w:val="fr-CA"/>
              </w:rPr>
              <w:t>6 – 7%</w:t>
            </w:r>
          </w:p>
        </w:tc>
      </w:tr>
    </w:tbl>
    <w:p w:rsidR="001D71AD" w:rsidRPr="003A5D85" w:rsidRDefault="001D71AD" w:rsidP="00D13353">
      <w:pPr>
        <w:ind w:left="1080" w:right="720"/>
        <w:jc w:val="both"/>
        <w:rPr>
          <w:lang w:val="fr-CA"/>
        </w:rPr>
      </w:pPr>
    </w:p>
    <w:p w:rsidR="001D71AD" w:rsidRPr="00FC510C" w:rsidRDefault="001D71AD" w:rsidP="00BB13A1">
      <w:pPr>
        <w:numPr>
          <w:ilvl w:val="0"/>
          <w:numId w:val="4"/>
        </w:numPr>
        <w:ind w:left="1080" w:right="720" w:firstLine="0"/>
        <w:jc w:val="both"/>
        <w:rPr>
          <w:lang w:val="fr-FR"/>
        </w:rPr>
      </w:pPr>
      <w:r w:rsidRPr="00FC510C">
        <w:rPr>
          <w:lang w:val="fr-FR"/>
        </w:rPr>
        <w:t xml:space="preserve">Il est important de noter que le système de catégorisation est binaire (c.-à-d. les minimums sont respectés ou pas) </w:t>
      </w:r>
      <w:r>
        <w:rPr>
          <w:lang w:val="fr-FR"/>
        </w:rPr>
        <w:t>et que chaque indicateur a le même poids</w:t>
      </w:r>
      <w:r w:rsidRPr="00FC510C">
        <w:rPr>
          <w:lang w:val="fr-FR"/>
        </w:rPr>
        <w:t xml:space="preserve">. Le cycle </w:t>
      </w:r>
      <w:r>
        <w:rPr>
          <w:lang w:val="fr-FR"/>
        </w:rPr>
        <w:t xml:space="preserve">du </w:t>
      </w:r>
      <w:r w:rsidRPr="00FC510C">
        <w:rPr>
          <w:lang w:val="fr-FR"/>
        </w:rPr>
        <w:t xml:space="preserve">SARet les indicateurs </w:t>
      </w:r>
      <w:r>
        <w:rPr>
          <w:lang w:val="fr-FR"/>
        </w:rPr>
        <w:t xml:space="preserve">ont été </w:t>
      </w:r>
      <w:r w:rsidRPr="00FC510C">
        <w:rPr>
          <w:lang w:val="fr-FR"/>
        </w:rPr>
        <w:t xml:space="preserve">harmonisés avec le plan stratégique, l’usage du système </w:t>
      </w:r>
      <w:r>
        <w:rPr>
          <w:lang w:val="fr-FR"/>
        </w:rPr>
        <w:t>ayant été reconduit</w:t>
      </w:r>
      <w:r w:rsidRPr="00FC510C">
        <w:rPr>
          <w:lang w:val="fr-FR"/>
        </w:rPr>
        <w:t xml:space="preserve"> lorsque le plan strat</w:t>
      </w:r>
      <w:r>
        <w:rPr>
          <w:lang w:val="fr-FR"/>
        </w:rPr>
        <w:t xml:space="preserve">égique 2008-2011 a été prolongé jusqu’en 2013. </w:t>
      </w:r>
    </w:p>
    <w:p w:rsidR="001D71AD" w:rsidRPr="00FC510C" w:rsidRDefault="001D71AD" w:rsidP="00D13353">
      <w:pPr>
        <w:ind w:left="1080" w:right="720"/>
        <w:jc w:val="both"/>
        <w:rPr>
          <w:lang w:val="fr-FR"/>
        </w:rPr>
      </w:pPr>
    </w:p>
    <w:p w:rsidR="001D71AD" w:rsidRPr="00602F0E" w:rsidRDefault="001D71AD" w:rsidP="00BB13A1">
      <w:pPr>
        <w:numPr>
          <w:ilvl w:val="0"/>
          <w:numId w:val="4"/>
        </w:numPr>
        <w:ind w:left="1080" w:right="720" w:firstLine="0"/>
        <w:jc w:val="both"/>
        <w:rPr>
          <w:lang w:val="fr-FR"/>
        </w:rPr>
      </w:pPr>
      <w:r w:rsidRPr="00FC510C">
        <w:rPr>
          <w:lang w:val="fr-FR"/>
        </w:rPr>
        <w:t xml:space="preserve">Les attributions spécifiques à chaque pays ne sont pas faites </w:t>
      </w:r>
      <w:r>
        <w:rPr>
          <w:lang w:val="fr-FR"/>
        </w:rPr>
        <w:t>à travers</w:t>
      </w:r>
      <w:r w:rsidRPr="00FC510C">
        <w:rPr>
          <w:lang w:val="fr-FR"/>
        </w:rPr>
        <w:t xml:space="preserve"> le SAR lui-m</w:t>
      </w:r>
      <w:r>
        <w:rPr>
          <w:lang w:val="fr-FR"/>
        </w:rPr>
        <w:t>ême.</w:t>
      </w:r>
      <w:r w:rsidRPr="00FA1154">
        <w:rPr>
          <w:lang w:val="fr-FR"/>
        </w:rPr>
        <w:t xml:space="preserve">Le </w:t>
      </w:r>
      <w:r>
        <w:rPr>
          <w:lang w:val="fr-FR"/>
        </w:rPr>
        <w:t>Conseil d’administration</w:t>
      </w:r>
      <w:r w:rsidRPr="00FA1154">
        <w:rPr>
          <w:lang w:val="fr-FR"/>
        </w:rPr>
        <w:t xml:space="preserve"> a reconnu dans </w:t>
      </w:r>
      <w:r>
        <w:rPr>
          <w:lang w:val="fr-FR"/>
        </w:rPr>
        <w:t xml:space="preserve">la </w:t>
      </w:r>
      <w:r w:rsidRPr="00FA1154">
        <w:rPr>
          <w:lang w:val="fr-FR"/>
        </w:rPr>
        <w:t>d</w:t>
      </w:r>
      <w:r>
        <w:rPr>
          <w:lang w:val="fr-FR"/>
        </w:rPr>
        <w:t>é</w:t>
      </w:r>
      <w:r w:rsidRPr="00FA1154">
        <w:rPr>
          <w:lang w:val="fr-FR"/>
        </w:rPr>
        <w:t xml:space="preserve">cision 2007/42 </w:t>
      </w:r>
      <w:r>
        <w:rPr>
          <w:lang w:val="fr-FR"/>
        </w:rPr>
        <w:t>que « la répartition des ressources à chacun des pays doit être faite d’une manière souple »</w:t>
      </w:r>
      <w:r w:rsidRPr="00FA1154">
        <w:rPr>
          <w:lang w:val="fr-FR"/>
        </w:rPr>
        <w:t xml:space="preserve">.Le SAR est complété par un système de </w:t>
      </w:r>
      <w:r>
        <w:rPr>
          <w:lang w:val="fr-FR"/>
        </w:rPr>
        <w:t>répartition</w:t>
      </w:r>
      <w:r w:rsidRPr="00FA1154">
        <w:rPr>
          <w:lang w:val="fr-FR"/>
        </w:rPr>
        <w:t xml:space="preserve"> des ressources</w:t>
      </w:r>
      <w:r>
        <w:rPr>
          <w:lang w:val="fr-FR"/>
        </w:rPr>
        <w:t xml:space="preserve"> (SRR) qui indique d’une manière souple, les chiffres annuels de planification pour les pays. </w:t>
      </w:r>
      <w:r w:rsidRPr="008F2376">
        <w:rPr>
          <w:lang w:val="fr-FR"/>
        </w:rPr>
        <w:t>Cependant, alors que les attributions d’ensemble sont faites conformément aux paramètres décrits ci-dessus, les attributions aux pays sont faites d</w:t>
      </w:r>
      <w:r>
        <w:rPr>
          <w:lang w:val="fr-FR"/>
        </w:rPr>
        <w:t xml:space="preserve">’après les documents du programme de pays qui sont examinés séparément par le Conseil d’administration. </w:t>
      </w:r>
    </w:p>
    <w:p w:rsidR="001D71AD" w:rsidRPr="00602F0E" w:rsidRDefault="001D71AD" w:rsidP="00D13353">
      <w:pPr>
        <w:ind w:left="1080" w:right="720"/>
        <w:jc w:val="both"/>
        <w:rPr>
          <w:lang w:val="fr-FR"/>
        </w:rPr>
      </w:pPr>
    </w:p>
    <w:p w:rsidR="001D71AD" w:rsidRPr="003A5D85" w:rsidRDefault="001D71AD" w:rsidP="00445095">
      <w:pPr>
        <w:pStyle w:val="Heading2"/>
        <w:rPr>
          <w:lang w:val="fr-CA"/>
        </w:rPr>
      </w:pPr>
      <w:bookmarkStart w:id="11" w:name="_Toc363918451"/>
      <w:r w:rsidRPr="003A5D85">
        <w:rPr>
          <w:lang w:val="fr-CA"/>
        </w:rPr>
        <w:t>Principales difficultés</w:t>
      </w:r>
      <w:bookmarkEnd w:id="11"/>
    </w:p>
    <w:p w:rsidR="001D71AD" w:rsidRPr="003A5D85" w:rsidRDefault="001D71AD" w:rsidP="00D13353">
      <w:pPr>
        <w:ind w:left="1080" w:right="720"/>
        <w:jc w:val="both"/>
        <w:rPr>
          <w:lang w:val="fr-CA"/>
        </w:rPr>
      </w:pPr>
    </w:p>
    <w:p w:rsidR="001D71AD" w:rsidRPr="00602F0E" w:rsidRDefault="001D71AD" w:rsidP="00BB13A1">
      <w:pPr>
        <w:numPr>
          <w:ilvl w:val="0"/>
          <w:numId w:val="4"/>
        </w:numPr>
        <w:ind w:left="1080" w:right="720" w:firstLine="0"/>
        <w:jc w:val="both"/>
        <w:rPr>
          <w:lang w:val="fr-FR"/>
        </w:rPr>
      </w:pPr>
      <w:r w:rsidRPr="003A5D85">
        <w:rPr>
          <w:lang w:val="fr-CA"/>
        </w:rPr>
        <w:t>Un certain nombre de difficultés</w:t>
      </w:r>
      <w:r>
        <w:rPr>
          <w:lang w:val="fr-FR"/>
        </w:rPr>
        <w:t xml:space="preserve"> sont associées au</w:t>
      </w:r>
      <w:r w:rsidRPr="00602F0E">
        <w:rPr>
          <w:lang w:val="fr-FR"/>
        </w:rPr>
        <w:t xml:space="preserve"> SAR : </w:t>
      </w:r>
    </w:p>
    <w:p w:rsidR="001D71AD" w:rsidRPr="008C58CF" w:rsidRDefault="001D71AD" w:rsidP="00BB13A1">
      <w:pPr>
        <w:numPr>
          <w:ilvl w:val="0"/>
          <w:numId w:val="8"/>
        </w:numPr>
        <w:ind w:right="720"/>
        <w:jc w:val="both"/>
        <w:rPr>
          <w:lang w:val="fr-FR"/>
        </w:rPr>
      </w:pPr>
      <w:r w:rsidRPr="008C58CF">
        <w:rPr>
          <w:lang w:val="fr-FR"/>
        </w:rPr>
        <w:t>Les indicateurs, élaborés avant la direction stratégique actuelle fixée lors de l’examen à mi-parcours du Plan stratégique ne correspondent pas compl</w:t>
      </w:r>
      <w:r>
        <w:rPr>
          <w:lang w:val="fr-FR"/>
        </w:rPr>
        <w:t xml:space="preserve">ètement à la direction stratégique </w:t>
      </w:r>
      <w:r w:rsidRPr="008C58CF">
        <w:rPr>
          <w:lang w:val="fr-FR"/>
        </w:rPr>
        <w:t>;</w:t>
      </w:r>
    </w:p>
    <w:p w:rsidR="001D71AD" w:rsidRPr="008C58CF" w:rsidRDefault="001D71AD" w:rsidP="00BB13A1">
      <w:pPr>
        <w:numPr>
          <w:ilvl w:val="0"/>
          <w:numId w:val="8"/>
        </w:numPr>
        <w:ind w:right="720"/>
        <w:jc w:val="both"/>
        <w:rPr>
          <w:lang w:val="fr-FR"/>
        </w:rPr>
      </w:pPr>
      <w:r w:rsidRPr="008C58CF">
        <w:rPr>
          <w:lang w:val="fr-FR"/>
        </w:rPr>
        <w:t>L’attribution actuelle des ressources n’est pas convenablement ax</w:t>
      </w:r>
      <w:r>
        <w:rPr>
          <w:lang w:val="fr-FR"/>
        </w:rPr>
        <w:t>é</w:t>
      </w:r>
      <w:r w:rsidRPr="008C58CF">
        <w:rPr>
          <w:lang w:val="fr-FR"/>
        </w:rPr>
        <w:t>e sur les besoins, ce qui est particulièrement problématique pour un organisme qui a un mandat universel et fonde son trav</w:t>
      </w:r>
      <w:r>
        <w:rPr>
          <w:lang w:val="fr-FR"/>
        </w:rPr>
        <w:t>a</w:t>
      </w:r>
      <w:r w:rsidRPr="008C58CF">
        <w:rPr>
          <w:lang w:val="fr-FR"/>
        </w:rPr>
        <w:t>il sur les principes des droits humains</w:t>
      </w:r>
      <w:r>
        <w:rPr>
          <w:lang w:val="fr-FR"/>
        </w:rPr>
        <w:t xml:space="preserve">, notamment le respect de toutes les vies </w:t>
      </w:r>
      <w:r w:rsidRPr="008C58CF">
        <w:rPr>
          <w:lang w:val="fr-FR"/>
        </w:rPr>
        <w:t>;</w:t>
      </w:r>
    </w:p>
    <w:p w:rsidR="001D71AD" w:rsidRPr="009A7707" w:rsidRDefault="001D71AD" w:rsidP="00BB13A1">
      <w:pPr>
        <w:numPr>
          <w:ilvl w:val="0"/>
          <w:numId w:val="8"/>
        </w:numPr>
        <w:ind w:right="720"/>
        <w:jc w:val="both"/>
        <w:rPr>
          <w:lang w:val="fr-FR"/>
        </w:rPr>
      </w:pPr>
      <w:r w:rsidRPr="009A7707">
        <w:rPr>
          <w:lang w:val="fr-FR"/>
        </w:rPr>
        <w:t>L’attribution des ressources ne correspond pas aux types d’interv</w:t>
      </w:r>
      <w:r>
        <w:rPr>
          <w:lang w:val="fr-FR"/>
        </w:rPr>
        <w:t xml:space="preserve">entions que dispense </w:t>
      </w:r>
      <w:r w:rsidRPr="009A7707">
        <w:rPr>
          <w:lang w:val="fr-FR"/>
        </w:rPr>
        <w:t>l’UNFPA;</w:t>
      </w:r>
    </w:p>
    <w:p w:rsidR="001D71AD" w:rsidRPr="009A7707" w:rsidRDefault="001D71AD" w:rsidP="00BB13A1">
      <w:pPr>
        <w:numPr>
          <w:ilvl w:val="0"/>
          <w:numId w:val="8"/>
        </w:numPr>
        <w:ind w:right="720"/>
        <w:jc w:val="both"/>
        <w:rPr>
          <w:lang w:val="fr-FR"/>
        </w:rPr>
      </w:pPr>
      <w:r w:rsidRPr="009A7707">
        <w:rPr>
          <w:lang w:val="fr-FR"/>
        </w:rPr>
        <w:t>Le système actuel n’attribue pas les ressources d’une mani</w:t>
      </w:r>
      <w:r>
        <w:rPr>
          <w:lang w:val="fr-FR"/>
        </w:rPr>
        <w:t>ère qui en optimise l’impact, en récompensant les résultats par exemple</w:t>
      </w:r>
      <w:r w:rsidRPr="009A7707">
        <w:rPr>
          <w:lang w:val="fr-FR"/>
        </w:rPr>
        <w:t>;</w:t>
      </w:r>
    </w:p>
    <w:p w:rsidR="001D71AD" w:rsidRPr="001661C4" w:rsidRDefault="001D71AD" w:rsidP="00BB13A1">
      <w:pPr>
        <w:numPr>
          <w:ilvl w:val="0"/>
          <w:numId w:val="8"/>
        </w:numPr>
        <w:ind w:right="720"/>
        <w:jc w:val="both"/>
        <w:rPr>
          <w:lang w:val="fr-FR"/>
        </w:rPr>
      </w:pPr>
      <w:r w:rsidRPr="001661C4">
        <w:rPr>
          <w:lang w:val="fr-FR"/>
        </w:rPr>
        <w:t>Le système actuel n’est pas adapté aux interventio</w:t>
      </w:r>
      <w:r>
        <w:rPr>
          <w:lang w:val="fr-FR"/>
        </w:rPr>
        <w:t>ns nécessitées par une crise humanitaire</w:t>
      </w:r>
      <w:r w:rsidRPr="001661C4">
        <w:rPr>
          <w:lang w:val="fr-FR"/>
        </w:rPr>
        <w:t>;</w:t>
      </w:r>
    </w:p>
    <w:p w:rsidR="001D71AD" w:rsidRPr="0064045D" w:rsidRDefault="001D71AD" w:rsidP="00BB13A1">
      <w:pPr>
        <w:numPr>
          <w:ilvl w:val="0"/>
          <w:numId w:val="8"/>
        </w:numPr>
        <w:ind w:right="720"/>
        <w:jc w:val="both"/>
        <w:rPr>
          <w:lang w:val="fr-FR"/>
        </w:rPr>
      </w:pPr>
      <w:r w:rsidRPr="001661C4">
        <w:rPr>
          <w:lang w:val="fr-FR"/>
        </w:rPr>
        <w:t xml:space="preserve">Si le système actuel </w:t>
      </w:r>
      <w:r>
        <w:rPr>
          <w:lang w:val="fr-FR"/>
        </w:rPr>
        <w:t xml:space="preserve">venait à être </w:t>
      </w:r>
      <w:r w:rsidRPr="001661C4">
        <w:rPr>
          <w:lang w:val="fr-FR"/>
        </w:rPr>
        <w:t xml:space="preserve">utilisé sans modification en dehors de l’actualisation des données correspondant aux huit indicateurs, la </w:t>
      </w:r>
      <w:r>
        <w:rPr>
          <w:lang w:val="fr-FR"/>
        </w:rPr>
        <w:t>ré</w:t>
      </w:r>
      <w:r w:rsidRPr="001661C4">
        <w:rPr>
          <w:lang w:val="fr-FR"/>
        </w:rPr>
        <w:t>partition de pays et de personnes qui en r</w:t>
      </w:r>
      <w:r>
        <w:rPr>
          <w:lang w:val="fr-FR"/>
        </w:rPr>
        <w:t xml:space="preserve">ésulterait serait difficile à exécuter. </w:t>
      </w:r>
    </w:p>
    <w:p w:rsidR="001D71AD" w:rsidRPr="0064045D" w:rsidRDefault="001D71AD" w:rsidP="00D13353">
      <w:pPr>
        <w:ind w:left="1080" w:right="720"/>
        <w:jc w:val="both"/>
        <w:rPr>
          <w:lang w:val="fr-FR"/>
        </w:rPr>
      </w:pPr>
    </w:p>
    <w:p w:rsidR="001D71AD" w:rsidRPr="001661C4" w:rsidRDefault="001D71AD" w:rsidP="00BB13A1">
      <w:pPr>
        <w:numPr>
          <w:ilvl w:val="0"/>
          <w:numId w:val="4"/>
        </w:numPr>
        <w:ind w:left="1080" w:right="720" w:firstLine="0"/>
        <w:jc w:val="both"/>
        <w:rPr>
          <w:lang w:val="fr-FR"/>
        </w:rPr>
      </w:pPr>
      <w:r w:rsidRPr="001661C4">
        <w:rPr>
          <w:lang w:val="fr-FR"/>
        </w:rPr>
        <w:t>Chacune de ces difficul</w:t>
      </w:r>
      <w:r>
        <w:rPr>
          <w:lang w:val="fr-FR"/>
        </w:rPr>
        <w:t>tés</w:t>
      </w:r>
      <w:r w:rsidRPr="001661C4">
        <w:rPr>
          <w:lang w:val="fr-FR"/>
        </w:rPr>
        <w:t xml:space="preserve"> nécessite </w:t>
      </w:r>
      <w:r>
        <w:rPr>
          <w:lang w:val="fr-FR"/>
        </w:rPr>
        <w:t>plus d’explications</w:t>
      </w:r>
      <w:r w:rsidRPr="001661C4">
        <w:rPr>
          <w:lang w:val="fr-FR"/>
        </w:rPr>
        <w:t xml:space="preserve">. </w:t>
      </w:r>
    </w:p>
    <w:p w:rsidR="001D71AD" w:rsidRPr="001661C4" w:rsidRDefault="001D71AD" w:rsidP="00D13353">
      <w:pPr>
        <w:ind w:left="1080" w:right="720"/>
        <w:jc w:val="both"/>
        <w:rPr>
          <w:lang w:val="fr-FR"/>
        </w:rPr>
      </w:pPr>
    </w:p>
    <w:p w:rsidR="001D71AD" w:rsidRPr="00F84D3B" w:rsidRDefault="001D71AD" w:rsidP="00BB13A1">
      <w:pPr>
        <w:pStyle w:val="Heading3"/>
        <w:numPr>
          <w:ilvl w:val="0"/>
          <w:numId w:val="22"/>
        </w:numPr>
        <w:ind w:left="1440"/>
      </w:pPr>
      <w:r w:rsidRPr="002B6FE2">
        <w:rPr>
          <w:lang w:val="fr-FR"/>
        </w:rPr>
        <w:t>Les i</w:t>
      </w:r>
      <w:r w:rsidRPr="00F84D3B">
        <w:t>ndicat</w:t>
      </w:r>
      <w:r w:rsidRPr="001661C4">
        <w:rPr>
          <w:lang w:val="fr-FR"/>
        </w:rPr>
        <w:t>eurs ne correspond</w:t>
      </w:r>
      <w:r>
        <w:rPr>
          <w:lang w:val="fr-FR"/>
        </w:rPr>
        <w:t>e</w:t>
      </w:r>
      <w:r w:rsidRPr="001661C4">
        <w:rPr>
          <w:lang w:val="fr-FR"/>
        </w:rPr>
        <w:t xml:space="preserve">nt pas pleinement à la direction stratégique actuelle </w:t>
      </w:r>
    </w:p>
    <w:p w:rsidR="001D71AD" w:rsidRPr="002B6FE2" w:rsidRDefault="001D71AD" w:rsidP="00D13353">
      <w:pPr>
        <w:ind w:left="1080" w:right="720"/>
        <w:jc w:val="both"/>
      </w:pPr>
    </w:p>
    <w:p w:rsidR="001D71AD" w:rsidRPr="00415439" w:rsidRDefault="001D71AD" w:rsidP="00BB13A1">
      <w:pPr>
        <w:numPr>
          <w:ilvl w:val="0"/>
          <w:numId w:val="4"/>
        </w:numPr>
        <w:ind w:left="1080" w:right="720" w:firstLine="0"/>
        <w:jc w:val="both"/>
        <w:rPr>
          <w:lang w:val="fr-FR"/>
        </w:rPr>
      </w:pPr>
      <w:r w:rsidRPr="00415439">
        <w:rPr>
          <w:lang w:val="fr-FR"/>
        </w:rPr>
        <w:t>Étant donné que les indicateurs</w:t>
      </w:r>
      <w:r>
        <w:rPr>
          <w:lang w:val="fr-FR"/>
        </w:rPr>
        <w:t xml:space="preserve"> du </w:t>
      </w:r>
      <w:r w:rsidRPr="00415439">
        <w:rPr>
          <w:lang w:val="fr-FR"/>
        </w:rPr>
        <w:t xml:space="preserve">SAR ont été sélectionnés avant le </w:t>
      </w:r>
      <w:r>
        <w:rPr>
          <w:lang w:val="fr-FR"/>
        </w:rPr>
        <w:t xml:space="preserve">centrage </w:t>
      </w:r>
      <w:r w:rsidRPr="00415439">
        <w:rPr>
          <w:lang w:val="fr-FR"/>
        </w:rPr>
        <w:t xml:space="preserve">du travail de l’UNFPA occasionné par l’examen à mi-parcours (EMP), rien de surprenant à ce qu’ils ne </w:t>
      </w:r>
      <w:r w:rsidRPr="00415439">
        <w:rPr>
          <w:lang w:val="fr-FR"/>
        </w:rPr>
        <w:lastRenderedPageBreak/>
        <w:t xml:space="preserve">correspondent pas exactement à la direction stratégique </w:t>
      </w:r>
      <w:r>
        <w:rPr>
          <w:lang w:val="fr-FR"/>
        </w:rPr>
        <w:t>fixée par l’examen à mi-parcours (EMP)</w:t>
      </w:r>
      <w:r w:rsidRPr="00415439">
        <w:rPr>
          <w:lang w:val="fr-FR"/>
        </w:rPr>
        <w:t>(</w:t>
      </w:r>
      <w:r>
        <w:rPr>
          <w:lang w:val="fr-FR"/>
        </w:rPr>
        <w:t xml:space="preserve">généralement appelée </w:t>
      </w:r>
      <w:r w:rsidRPr="00415439">
        <w:rPr>
          <w:lang w:val="fr-FR"/>
        </w:rPr>
        <w:t>“</w:t>
      </w:r>
      <w:r w:rsidRPr="00C54E1A">
        <w:rPr>
          <w:lang w:val="fr-FR"/>
        </w:rPr>
        <w:t>cible”</w:t>
      </w:r>
      <w:r>
        <w:rPr>
          <w:lang w:val="fr-FR"/>
        </w:rPr>
        <w:t xml:space="preserve"> ou centre de la cible</w:t>
      </w:r>
      <w:r w:rsidRPr="00415439">
        <w:rPr>
          <w:lang w:val="fr-FR"/>
        </w:rPr>
        <w:t>).</w:t>
      </w:r>
    </w:p>
    <w:p w:rsidR="001D71AD" w:rsidRPr="00415439" w:rsidRDefault="001D71AD" w:rsidP="00D13353">
      <w:pPr>
        <w:ind w:left="1080" w:right="720"/>
        <w:jc w:val="both"/>
        <w:rPr>
          <w:lang w:val="fr-FR"/>
        </w:rPr>
      </w:pPr>
    </w:p>
    <w:p w:rsidR="001D71AD" w:rsidRPr="006A6778" w:rsidRDefault="001D71AD" w:rsidP="00BB13A1">
      <w:pPr>
        <w:numPr>
          <w:ilvl w:val="0"/>
          <w:numId w:val="4"/>
        </w:numPr>
        <w:ind w:left="1080" w:right="720" w:firstLine="0"/>
        <w:jc w:val="both"/>
        <w:rPr>
          <w:lang w:val="fr-FR"/>
        </w:rPr>
      </w:pPr>
      <w:r w:rsidRPr="00F3787E">
        <w:rPr>
          <w:lang w:val="fr-FR"/>
        </w:rPr>
        <w:t>Deux indicateurs en particulier, sont m</w:t>
      </w:r>
      <w:r>
        <w:rPr>
          <w:lang w:val="fr-FR"/>
        </w:rPr>
        <w:t>o</w:t>
      </w:r>
      <w:r w:rsidRPr="00F3787E">
        <w:rPr>
          <w:lang w:val="fr-FR"/>
        </w:rPr>
        <w:t xml:space="preserve">ins directement liés à la direction stratégique : </w:t>
      </w:r>
      <w:r>
        <w:rPr>
          <w:lang w:val="fr-FR"/>
        </w:rPr>
        <w:t xml:space="preserve">le </w:t>
      </w:r>
      <w:r w:rsidRPr="00F3787E">
        <w:rPr>
          <w:lang w:val="fr-FR"/>
        </w:rPr>
        <w:t>taux de mortalit</w:t>
      </w:r>
      <w:r>
        <w:rPr>
          <w:lang w:val="fr-FR"/>
        </w:rPr>
        <w:t xml:space="preserve">é des moins de cinq ans et le taux d’alphabétisation chez les filles/femmes de 15 à 24 ans. </w:t>
      </w:r>
      <w:r w:rsidRPr="00DD1877">
        <w:rPr>
          <w:lang w:val="fr-FR"/>
        </w:rPr>
        <w:t xml:space="preserve">Ces deux indicateurs sont importants </w:t>
      </w:r>
      <w:r>
        <w:rPr>
          <w:lang w:val="fr-FR"/>
        </w:rPr>
        <w:t xml:space="preserve">sur un plan général, </w:t>
      </w:r>
      <w:r w:rsidRPr="00DD1877">
        <w:rPr>
          <w:lang w:val="fr-FR"/>
        </w:rPr>
        <w:t>mais l’UNFPA ne travaillant pas directement sur ces problèmes, leur inclusion n</w:t>
      </w:r>
      <w:r>
        <w:rPr>
          <w:lang w:val="fr-FR"/>
        </w:rPr>
        <w:t xml:space="preserve">’appartient pas à la même catégorie que les autres indicateurs qui couvrent tous des domaines sur lesquels sont axés les programmes de l’UNFPA. </w:t>
      </w:r>
      <w:r w:rsidRPr="006A6778">
        <w:rPr>
          <w:lang w:val="fr-FR"/>
        </w:rPr>
        <w:t>Ce décalage est particulièrement important en raison de la structure du SAR : tous les indicateurs ont le même poids, ce qui signifie que la m</w:t>
      </w:r>
      <w:r>
        <w:rPr>
          <w:lang w:val="fr-FR"/>
        </w:rPr>
        <w:t>ê</w:t>
      </w:r>
      <w:r w:rsidRPr="006A6778">
        <w:rPr>
          <w:lang w:val="fr-FR"/>
        </w:rPr>
        <w:t>me importance est accordée à la mortalité des moins de cinq ans qu’au ratio de mortalit</w:t>
      </w:r>
      <w:r>
        <w:rPr>
          <w:lang w:val="fr-FR"/>
        </w:rPr>
        <w:t>é maternelle en dépit du fait que l’UNFPA ne travaille pas dans le premier domaine tandis que le dernier est explicitement cité comme priorité au centre de la cible</w:t>
      </w:r>
      <w:r w:rsidRPr="006A6778">
        <w:rPr>
          <w:lang w:val="fr-FR"/>
        </w:rPr>
        <w:t>.</w:t>
      </w:r>
    </w:p>
    <w:p w:rsidR="001D71AD" w:rsidRPr="006A6778" w:rsidRDefault="001D71AD" w:rsidP="00D13353">
      <w:pPr>
        <w:ind w:left="1080" w:right="720"/>
        <w:jc w:val="both"/>
        <w:rPr>
          <w:lang w:val="fr-FR"/>
        </w:rPr>
      </w:pPr>
    </w:p>
    <w:p w:rsidR="001D71AD" w:rsidRPr="00671D41" w:rsidRDefault="001D71AD" w:rsidP="00BB13A1">
      <w:pPr>
        <w:numPr>
          <w:ilvl w:val="0"/>
          <w:numId w:val="4"/>
        </w:numPr>
        <w:ind w:left="1080" w:right="720" w:firstLine="0"/>
        <w:jc w:val="both"/>
        <w:rPr>
          <w:lang w:val="fr-FR"/>
        </w:rPr>
      </w:pPr>
      <w:r w:rsidRPr="005F2E59">
        <w:rPr>
          <w:lang w:val="fr-FR"/>
        </w:rPr>
        <w:t xml:space="preserve">L’autre indicateur qui ne correspond pas vraiment </w:t>
      </w:r>
      <w:r>
        <w:rPr>
          <w:lang w:val="fr-FR"/>
        </w:rPr>
        <w:t xml:space="preserve">au </w:t>
      </w:r>
      <w:r w:rsidRPr="005F2E59">
        <w:rPr>
          <w:lang w:val="fr-FR"/>
        </w:rPr>
        <w:t>reste</w:t>
      </w:r>
      <w:r>
        <w:rPr>
          <w:lang w:val="fr-FR"/>
        </w:rPr>
        <w:t xml:space="preserve"> de l’ensemble,</w:t>
      </w:r>
      <w:r w:rsidRPr="005F2E59">
        <w:rPr>
          <w:lang w:val="fr-FR"/>
        </w:rPr>
        <w:t xml:space="preserve"> est la </w:t>
      </w:r>
      <w:r>
        <w:rPr>
          <w:lang w:val="fr-FR"/>
        </w:rPr>
        <w:t xml:space="preserve">proportion de la </w:t>
      </w:r>
      <w:r w:rsidRPr="005F2E59">
        <w:rPr>
          <w:lang w:val="fr-FR"/>
        </w:rPr>
        <w:t>population âgée de 1</w:t>
      </w:r>
      <w:r>
        <w:rPr>
          <w:lang w:val="fr-FR"/>
        </w:rPr>
        <w:t xml:space="preserve">0à 24 ans. </w:t>
      </w:r>
      <w:r w:rsidRPr="004A2F1A">
        <w:rPr>
          <w:lang w:val="fr-FR"/>
        </w:rPr>
        <w:t>L’UNFPA place les adolescents et les jeunes au centre de son œuvre, mais cet indicateur est structurellement différent des autres en ce qu’aucune direction normative n</w:t>
      </w:r>
      <w:r>
        <w:rPr>
          <w:lang w:val="fr-FR"/>
        </w:rPr>
        <w:t xml:space="preserve">’est associée aux changements qu’il contient et l’UNFPA ne recherche aucun changement de direction dans un sens ou dans un autre. </w:t>
      </w:r>
      <w:r w:rsidRPr="004A2F1A">
        <w:rPr>
          <w:lang w:val="fr-FR"/>
        </w:rPr>
        <w:t xml:space="preserve">Contrairement à cela, un ratio élevé de mortalité maternelle est mauvais du point de vue </w:t>
      </w:r>
      <w:r>
        <w:rPr>
          <w:lang w:val="fr-FR"/>
        </w:rPr>
        <w:t>des normes et l’</w:t>
      </w:r>
      <w:r w:rsidRPr="004A2F1A">
        <w:rPr>
          <w:lang w:val="fr-FR"/>
        </w:rPr>
        <w:t xml:space="preserve">UNFPA </w:t>
      </w:r>
      <w:r>
        <w:rPr>
          <w:lang w:val="fr-FR"/>
        </w:rPr>
        <w:t xml:space="preserve">s’emploie activement à l’abaisser. Par contre, </w:t>
      </w:r>
      <w:r w:rsidRPr="00671D41">
        <w:rPr>
          <w:lang w:val="fr-FR"/>
        </w:rPr>
        <w:t xml:space="preserve">il n’existe aucune donnée normative indiquant si un pourcentage donné de population âgée de 10 à 24 ans est bon ou mauvais et la programmation de l’UNFPA vise à améliorer la vie de ces adolescents et jeunes et non </w:t>
      </w:r>
      <w:r>
        <w:rPr>
          <w:lang w:val="fr-FR"/>
        </w:rPr>
        <w:t xml:space="preserve">à essayer d’augmenter ou de diminuer leur pourcentage de la population totale. </w:t>
      </w:r>
    </w:p>
    <w:p w:rsidR="001D71AD" w:rsidRPr="00671D41" w:rsidRDefault="001D71AD" w:rsidP="00D13353">
      <w:pPr>
        <w:ind w:left="1080" w:right="720"/>
        <w:jc w:val="both"/>
        <w:rPr>
          <w:lang w:val="fr-FR"/>
        </w:rPr>
      </w:pPr>
    </w:p>
    <w:p w:rsidR="001D71AD" w:rsidRPr="00D13353" w:rsidRDefault="001D71AD" w:rsidP="00BB13A1">
      <w:pPr>
        <w:pStyle w:val="Heading3"/>
        <w:numPr>
          <w:ilvl w:val="0"/>
          <w:numId w:val="22"/>
        </w:numPr>
        <w:ind w:left="1440"/>
      </w:pPr>
      <w:r>
        <w:rPr>
          <w:lang w:val="fr-FR"/>
        </w:rPr>
        <w:t>Les a</w:t>
      </w:r>
      <w:r w:rsidRPr="00412125">
        <w:rPr>
          <w:lang w:val="fr-FR"/>
        </w:rPr>
        <w:t xml:space="preserve">ttributions actuelles de ressources </w:t>
      </w:r>
      <w:r>
        <w:rPr>
          <w:lang w:val="fr-FR"/>
        </w:rPr>
        <w:t>ne sont pas vraiment axées sur les</w:t>
      </w:r>
      <w:r w:rsidRPr="00412125">
        <w:rPr>
          <w:lang w:val="fr-FR"/>
        </w:rPr>
        <w:t xml:space="preserve">besoins </w:t>
      </w:r>
    </w:p>
    <w:p w:rsidR="001D71AD" w:rsidRPr="002B6FE2" w:rsidRDefault="001D71AD" w:rsidP="00D13353">
      <w:pPr>
        <w:ind w:left="1080" w:right="720"/>
        <w:jc w:val="both"/>
      </w:pPr>
    </w:p>
    <w:p w:rsidR="001D71AD" w:rsidRDefault="001D71AD" w:rsidP="00BB13A1">
      <w:pPr>
        <w:numPr>
          <w:ilvl w:val="0"/>
          <w:numId w:val="4"/>
        </w:numPr>
        <w:ind w:left="1080" w:right="720" w:firstLine="0"/>
        <w:jc w:val="both"/>
        <w:rPr>
          <w:lang w:val="fr-FR"/>
        </w:rPr>
      </w:pPr>
      <w:r w:rsidRPr="00EB7DB6">
        <w:rPr>
          <w:lang w:val="fr-FR"/>
        </w:rPr>
        <w:t xml:space="preserve"> Le SAR est un mécanisme explicitement basé sur les besoins, car la base principale utilisée pour c</w:t>
      </w:r>
      <w:r>
        <w:rPr>
          <w:lang w:val="fr-FR"/>
        </w:rPr>
        <w:t xml:space="preserve">lasser </w:t>
      </w:r>
      <w:r w:rsidRPr="00EB7DB6">
        <w:rPr>
          <w:lang w:val="fr-FR"/>
        </w:rPr>
        <w:t xml:space="preserve">les pays </w:t>
      </w:r>
      <w:r>
        <w:rPr>
          <w:lang w:val="fr-FR"/>
        </w:rPr>
        <w:t xml:space="preserve">par catégories </w:t>
      </w:r>
      <w:r w:rsidRPr="00EB7DB6">
        <w:rPr>
          <w:lang w:val="fr-FR"/>
        </w:rPr>
        <w:t xml:space="preserve">est le besoin. En dépit de ce fait, les attributions de ressources ne correspondent pas aux besoins, notamment du point de vue des personnes souffrant des problèmes que l’UNFPA s’attache à résoudre. </w:t>
      </w:r>
    </w:p>
    <w:p w:rsidR="001D71AD" w:rsidRPr="00EB7DB6" w:rsidRDefault="001D71AD" w:rsidP="00EB7DB6">
      <w:pPr>
        <w:ind w:left="1080" w:right="720"/>
        <w:jc w:val="both"/>
        <w:rPr>
          <w:lang w:val="fr-FR"/>
        </w:rPr>
      </w:pPr>
    </w:p>
    <w:p w:rsidR="001D71AD" w:rsidRPr="000931D2" w:rsidRDefault="001D71AD" w:rsidP="00BB13A1">
      <w:pPr>
        <w:numPr>
          <w:ilvl w:val="0"/>
          <w:numId w:val="4"/>
        </w:numPr>
        <w:ind w:left="1080" w:right="720" w:firstLine="0"/>
        <w:jc w:val="both"/>
        <w:rPr>
          <w:lang w:val="fr-FR"/>
        </w:rPr>
      </w:pPr>
      <w:r w:rsidRPr="000931D2">
        <w:rPr>
          <w:lang w:val="fr-FR"/>
        </w:rPr>
        <w:t xml:space="preserve">L’une des principales raisons de cet état de fait est que les attributions actuelles favorisent largement les petits pays. </w:t>
      </w:r>
      <w:r>
        <w:rPr>
          <w:lang w:val="fr-FR"/>
        </w:rPr>
        <w:t xml:space="preserve">Cela se voit clairement sur la figure 1 qui représente </w:t>
      </w:r>
      <w:r w:rsidRPr="000931D2">
        <w:rPr>
          <w:lang w:val="fr-FR"/>
        </w:rPr>
        <w:t xml:space="preserve">les attributions par tête planifiées </w:t>
      </w:r>
      <w:r>
        <w:rPr>
          <w:lang w:val="fr-FR"/>
        </w:rPr>
        <w:t>pour un sous-ensemble de pays bénéficiaires du programme.</w:t>
      </w:r>
    </w:p>
    <w:p w:rsidR="001D71AD" w:rsidRPr="000931D2" w:rsidRDefault="001D71AD" w:rsidP="00D13353">
      <w:pPr>
        <w:ind w:left="1080" w:right="720"/>
        <w:jc w:val="both"/>
        <w:rPr>
          <w:lang w:val="fr-FR"/>
        </w:rPr>
      </w:pPr>
    </w:p>
    <w:p w:rsidR="001D71AD" w:rsidRPr="000931D2" w:rsidRDefault="001D71AD" w:rsidP="00BB13A1">
      <w:pPr>
        <w:numPr>
          <w:ilvl w:val="0"/>
          <w:numId w:val="4"/>
        </w:numPr>
        <w:ind w:left="1080" w:right="720" w:firstLine="0"/>
        <w:jc w:val="both"/>
        <w:rPr>
          <w:lang w:val="fr-FR"/>
        </w:rPr>
      </w:pPr>
      <w:r w:rsidRPr="000931D2">
        <w:rPr>
          <w:b/>
          <w:lang w:val="fr-FR"/>
        </w:rPr>
        <w:t>Figure 1: Attribution de ressources par t</w:t>
      </w:r>
      <w:r>
        <w:rPr>
          <w:b/>
          <w:lang w:val="fr-FR"/>
        </w:rPr>
        <w:t>ête</w:t>
      </w:r>
    </w:p>
    <w:p w:rsidR="001D71AD" w:rsidRPr="00F84D3B" w:rsidRDefault="00675BF5" w:rsidP="00D13353">
      <w:pPr>
        <w:ind w:left="1080" w:right="720"/>
        <w:jc w:val="both"/>
        <w:rPr>
          <w:lang w:val="en-US"/>
        </w:rPr>
      </w:pPr>
      <w:r>
        <w:rPr>
          <w:noProof/>
          <w:lang w:val="en-US"/>
        </w:rPr>
        <w:lastRenderedPageBreak/>
        <w:drawing>
          <wp:inline distT="0" distB="0" distL="0" distR="0">
            <wp:extent cx="4838700" cy="276225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762250"/>
                    </a:xfrm>
                    <a:prstGeom prst="rect">
                      <a:avLst/>
                    </a:prstGeom>
                    <a:noFill/>
                    <a:ln>
                      <a:noFill/>
                    </a:ln>
                  </pic:spPr>
                </pic:pic>
              </a:graphicData>
            </a:graphic>
          </wp:inline>
        </w:drawing>
      </w:r>
    </w:p>
    <w:p w:rsidR="001D71AD" w:rsidRPr="000931D2" w:rsidRDefault="001D71AD" w:rsidP="00D13353">
      <w:pPr>
        <w:ind w:left="1080" w:right="720"/>
        <w:jc w:val="both"/>
        <w:rPr>
          <w:lang w:val="fr-FR"/>
        </w:rPr>
      </w:pPr>
      <w:r w:rsidRPr="000931D2">
        <w:rPr>
          <w:lang w:val="fr-FR"/>
        </w:rPr>
        <w:t>Per capita allocation… Attribution de ressources de base par t</w:t>
      </w:r>
      <w:r>
        <w:rPr>
          <w:lang w:val="fr-FR"/>
        </w:rPr>
        <w:t>ête</w:t>
      </w:r>
    </w:p>
    <w:p w:rsidR="001D71AD" w:rsidRDefault="001D71AD" w:rsidP="00D13353">
      <w:pPr>
        <w:ind w:left="1080" w:right="720"/>
        <w:jc w:val="both"/>
        <w:rPr>
          <w:lang w:val="fr-FR"/>
        </w:rPr>
      </w:pPr>
      <w:r>
        <w:rPr>
          <w:lang w:val="fr-FR"/>
        </w:rPr>
        <w:t>3,50 $ 3,00 $, 2,50 $, 2,00 $, 1,50 $, 1,00 $, 0,50 $</w:t>
      </w:r>
    </w:p>
    <w:p w:rsidR="001D71AD" w:rsidRDefault="001D71AD" w:rsidP="00D13353">
      <w:pPr>
        <w:ind w:left="1080" w:right="720"/>
        <w:jc w:val="both"/>
        <w:rPr>
          <w:lang w:val="fr-FR"/>
        </w:rPr>
      </w:pPr>
      <w:r>
        <w:rPr>
          <w:lang w:val="fr-FR"/>
        </w:rPr>
        <w:t>Population &gt; 50 millions                                              Population &gt; 5 millions</w:t>
      </w:r>
    </w:p>
    <w:p w:rsidR="001D71AD" w:rsidRDefault="001D71AD" w:rsidP="00D13353">
      <w:pPr>
        <w:ind w:left="1080" w:right="720"/>
        <w:jc w:val="both"/>
        <w:rPr>
          <w:lang w:val="fr-FR"/>
        </w:rPr>
      </w:pPr>
    </w:p>
    <w:p w:rsidR="001D71AD" w:rsidRPr="001336D5" w:rsidRDefault="001D71AD" w:rsidP="00D13353">
      <w:pPr>
        <w:ind w:left="1080" w:right="720"/>
        <w:jc w:val="both"/>
        <w:rPr>
          <w:lang w:val="fr-FR"/>
        </w:rPr>
      </w:pPr>
      <w:r>
        <w:rPr>
          <w:lang w:val="fr-FR"/>
        </w:rPr>
        <w:t xml:space="preserve">Inde, Égypte, Afrique du Sud, Pakistan, Nigeria, Bangladesh, Cuba, Éthiopie, Moldova, RD Congo, </w:t>
      </w:r>
      <w:r w:rsidRPr="001336D5">
        <w:rPr>
          <w:lang w:val="fr-FR"/>
        </w:rPr>
        <w:t>Bosnie-Herzégovine</w:t>
      </w:r>
      <w:r>
        <w:rPr>
          <w:lang w:val="fr-FR"/>
        </w:rPr>
        <w:t>, Soudan, Costa Rica, Géorgie, Ghana, Uruguay, Mozambique, Afghanistan, Paraguay, Tchad, Niger, Mongolie, Botswana, Bhoutan, Guinée équatoriale, Maldives, Sao Tomé</w:t>
      </w:r>
    </w:p>
    <w:p w:rsidR="001D71AD" w:rsidRDefault="001D71AD" w:rsidP="00D13353">
      <w:pPr>
        <w:ind w:left="1080" w:right="720"/>
        <w:jc w:val="both"/>
        <w:rPr>
          <w:lang w:val="fr-FR"/>
        </w:rPr>
      </w:pPr>
      <w:r>
        <w:rPr>
          <w:lang w:val="fr-FR"/>
        </w:rPr>
        <w:t>Pays du groupe A                    Pays du groupe B                            Pays du groupe C</w:t>
      </w:r>
    </w:p>
    <w:p w:rsidR="001D71AD" w:rsidRPr="000931D2" w:rsidRDefault="001D71AD" w:rsidP="00D13353">
      <w:pPr>
        <w:ind w:left="1080" w:right="720"/>
        <w:jc w:val="both"/>
        <w:rPr>
          <w:lang w:val="fr-FR"/>
        </w:rPr>
      </w:pPr>
    </w:p>
    <w:p w:rsidR="001D71AD" w:rsidRPr="0077429E" w:rsidRDefault="001D71AD" w:rsidP="00BB13A1">
      <w:pPr>
        <w:numPr>
          <w:ilvl w:val="0"/>
          <w:numId w:val="4"/>
        </w:numPr>
        <w:ind w:left="1080" w:right="720" w:firstLine="0"/>
        <w:jc w:val="both"/>
        <w:rPr>
          <w:lang w:val="fr-FR"/>
        </w:rPr>
      </w:pPr>
      <w:r w:rsidRPr="0077429E">
        <w:rPr>
          <w:lang w:val="fr-FR"/>
        </w:rPr>
        <w:t>23 pays qui ont tous moins de 5 millions d</w:t>
      </w:r>
      <w:r>
        <w:rPr>
          <w:lang w:val="fr-FR"/>
        </w:rPr>
        <w:t xml:space="preserve">’habitants, </w:t>
      </w:r>
      <w:r w:rsidRPr="0077429E">
        <w:rPr>
          <w:lang w:val="fr-FR"/>
        </w:rPr>
        <w:t>reçoivent plus de 0,35 $ par personne, par ann</w:t>
      </w:r>
      <w:r>
        <w:rPr>
          <w:lang w:val="fr-FR"/>
        </w:rPr>
        <w:t xml:space="preserve">ée. </w:t>
      </w:r>
      <w:r w:rsidRPr="0077429E">
        <w:rPr>
          <w:lang w:val="fr-FR"/>
        </w:rPr>
        <w:t xml:space="preserve">Par contre, les pays dotés d’une nombreuse population ne reçoivent que </w:t>
      </w:r>
      <w:r>
        <w:rPr>
          <w:lang w:val="fr-FR"/>
        </w:rPr>
        <w:t>quelques</w:t>
      </w:r>
      <w:r w:rsidRPr="0077429E">
        <w:rPr>
          <w:lang w:val="fr-FR"/>
        </w:rPr>
        <w:t xml:space="preserve"> centimes par t</w:t>
      </w:r>
      <w:r>
        <w:rPr>
          <w:lang w:val="fr-FR"/>
        </w:rPr>
        <w:t xml:space="preserve">ête bien qu’étant ceux où les décès maternels sont les plus nombreux et ceux où les besoins de contraceptifs non satisfaits sont les plus importants. </w:t>
      </w:r>
    </w:p>
    <w:p w:rsidR="001D71AD" w:rsidRPr="0077429E" w:rsidRDefault="001D71AD" w:rsidP="00D13353">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4D664B">
        <w:rPr>
          <w:lang w:val="fr-FR"/>
        </w:rPr>
        <w:t>Même parmi les pays relativement petits, le biais très prononcé vers les plus petits pays</w:t>
      </w:r>
      <w:r>
        <w:rPr>
          <w:lang w:val="fr-FR"/>
        </w:rPr>
        <w:t>,é</w:t>
      </w:r>
      <w:r w:rsidRPr="004D664B">
        <w:rPr>
          <w:lang w:val="fr-FR"/>
        </w:rPr>
        <w:t>clipse d’autres chiffres, comme ceux liés au besoin ou m</w:t>
      </w:r>
      <w:r>
        <w:rPr>
          <w:lang w:val="fr-FR"/>
        </w:rPr>
        <w:t>ême à la catégorie de SAR.</w:t>
      </w:r>
      <w:r w:rsidRPr="00795CD9">
        <w:rPr>
          <w:lang w:val="fr-FR"/>
        </w:rPr>
        <w:t>On le constatera facilement en regardant quelques exemples</w:t>
      </w:r>
      <w:r>
        <w:rPr>
          <w:lang w:val="fr-FR"/>
        </w:rPr>
        <w:t>,</w:t>
      </w:r>
      <w:r w:rsidRPr="00795CD9">
        <w:rPr>
          <w:lang w:val="fr-FR"/>
        </w:rPr>
        <w:t xml:space="preserve"> comme ceux du tableau 3.</w:t>
      </w:r>
    </w:p>
    <w:p w:rsidR="001D71AD" w:rsidRPr="0064045D" w:rsidRDefault="001D71AD" w:rsidP="00D13353">
      <w:pPr>
        <w:ind w:left="1080" w:right="720"/>
        <w:jc w:val="both"/>
        <w:rPr>
          <w:lang w:val="fr-FR"/>
        </w:rPr>
      </w:pPr>
    </w:p>
    <w:p w:rsidR="001D71AD" w:rsidRPr="0064045D" w:rsidRDefault="001D71AD" w:rsidP="00D13353">
      <w:pPr>
        <w:ind w:left="1080" w:right="720"/>
        <w:jc w:val="both"/>
        <w:rPr>
          <w:lang w:val="fr-FR"/>
        </w:rPr>
      </w:pPr>
      <w:r w:rsidRPr="0064045D">
        <w:rPr>
          <w:b/>
          <w:lang w:val="fr-FR"/>
        </w:rPr>
        <w:t xml:space="preserve">Tableau 3: Exemples d’attributions aux pays à faible population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0"/>
        <w:gridCol w:w="1710"/>
        <w:gridCol w:w="1710"/>
        <w:gridCol w:w="1710"/>
      </w:tblGrid>
      <w:tr w:rsidR="001D71AD" w:rsidRPr="003A5D85" w:rsidTr="00DF6B08">
        <w:trPr>
          <w:trHeight w:val="152"/>
        </w:trPr>
        <w:tc>
          <w:tcPr>
            <w:tcW w:w="2250" w:type="dxa"/>
          </w:tcPr>
          <w:p w:rsidR="001D71AD" w:rsidRPr="003A5D85" w:rsidRDefault="001D71AD" w:rsidP="00DF6B08">
            <w:pPr>
              <w:ind w:right="28"/>
              <w:jc w:val="both"/>
              <w:rPr>
                <w:sz w:val="18"/>
                <w:lang w:val="fr-CA"/>
              </w:rPr>
            </w:pPr>
          </w:p>
        </w:tc>
        <w:tc>
          <w:tcPr>
            <w:tcW w:w="1710" w:type="dxa"/>
          </w:tcPr>
          <w:p w:rsidR="001D71AD" w:rsidRPr="003A5D85" w:rsidRDefault="001D71AD" w:rsidP="00DF6B08">
            <w:pPr>
              <w:jc w:val="both"/>
              <w:rPr>
                <w:sz w:val="18"/>
                <w:lang w:val="fr-CA"/>
              </w:rPr>
            </w:pPr>
            <w:r w:rsidRPr="003A5D85">
              <w:rPr>
                <w:b/>
                <w:bCs/>
                <w:sz w:val="18"/>
                <w:lang w:val="fr-CA"/>
              </w:rPr>
              <w:t>Botswana</w:t>
            </w:r>
          </w:p>
        </w:tc>
        <w:tc>
          <w:tcPr>
            <w:tcW w:w="1710" w:type="dxa"/>
          </w:tcPr>
          <w:p w:rsidR="001D71AD" w:rsidRPr="003A5D85" w:rsidRDefault="001D71AD" w:rsidP="00795CD9">
            <w:pPr>
              <w:jc w:val="both"/>
              <w:rPr>
                <w:sz w:val="18"/>
                <w:lang w:val="fr-CA"/>
              </w:rPr>
            </w:pPr>
            <w:r w:rsidRPr="003A5D85">
              <w:rPr>
                <w:b/>
                <w:bCs/>
                <w:sz w:val="18"/>
                <w:lang w:val="fr-CA"/>
              </w:rPr>
              <w:t>Tchad</w:t>
            </w:r>
          </w:p>
        </w:tc>
        <w:tc>
          <w:tcPr>
            <w:tcW w:w="1710" w:type="dxa"/>
          </w:tcPr>
          <w:p w:rsidR="001D71AD" w:rsidRPr="003A5D85" w:rsidRDefault="001D71AD" w:rsidP="00DF6B08">
            <w:pPr>
              <w:ind w:left="20"/>
              <w:jc w:val="both"/>
              <w:rPr>
                <w:sz w:val="18"/>
                <w:lang w:val="fr-CA"/>
              </w:rPr>
            </w:pPr>
            <w:r w:rsidRPr="003A5D85">
              <w:rPr>
                <w:b/>
                <w:bCs/>
                <w:sz w:val="18"/>
                <w:lang w:val="fr-CA"/>
              </w:rPr>
              <w:t>Paraguay</w:t>
            </w:r>
          </w:p>
        </w:tc>
      </w:tr>
      <w:tr w:rsidR="001D71AD" w:rsidRPr="003A5D85" w:rsidTr="00DF6B08">
        <w:trPr>
          <w:trHeight w:val="170"/>
        </w:trPr>
        <w:tc>
          <w:tcPr>
            <w:tcW w:w="2250" w:type="dxa"/>
          </w:tcPr>
          <w:p w:rsidR="001D71AD" w:rsidRPr="003A5D85" w:rsidRDefault="001D71AD" w:rsidP="00795CD9">
            <w:pPr>
              <w:ind w:right="28"/>
              <w:jc w:val="both"/>
              <w:rPr>
                <w:sz w:val="18"/>
                <w:lang w:val="fr-CA"/>
              </w:rPr>
            </w:pPr>
            <w:r w:rsidRPr="003A5D85">
              <w:rPr>
                <w:b/>
                <w:bCs/>
                <w:sz w:val="18"/>
                <w:lang w:val="fr-CA"/>
              </w:rPr>
              <w:t>Catégorie SAR</w:t>
            </w:r>
          </w:p>
        </w:tc>
        <w:tc>
          <w:tcPr>
            <w:tcW w:w="1710" w:type="dxa"/>
          </w:tcPr>
          <w:p w:rsidR="001D71AD" w:rsidRPr="003A5D85" w:rsidRDefault="001D71AD" w:rsidP="00DF6B08">
            <w:pPr>
              <w:jc w:val="both"/>
              <w:rPr>
                <w:sz w:val="18"/>
                <w:lang w:val="fr-CA"/>
              </w:rPr>
            </w:pPr>
            <w:r w:rsidRPr="003A5D85">
              <w:rPr>
                <w:sz w:val="18"/>
                <w:lang w:val="fr-CA"/>
              </w:rPr>
              <w:t>B</w:t>
            </w:r>
          </w:p>
        </w:tc>
        <w:tc>
          <w:tcPr>
            <w:tcW w:w="1710" w:type="dxa"/>
          </w:tcPr>
          <w:p w:rsidR="001D71AD" w:rsidRPr="003A5D85" w:rsidRDefault="001D71AD" w:rsidP="00DF6B08">
            <w:pPr>
              <w:jc w:val="both"/>
              <w:rPr>
                <w:sz w:val="18"/>
                <w:lang w:val="fr-CA"/>
              </w:rPr>
            </w:pPr>
            <w:r w:rsidRPr="003A5D85">
              <w:rPr>
                <w:sz w:val="18"/>
                <w:lang w:val="fr-CA"/>
              </w:rPr>
              <w:t>A</w:t>
            </w:r>
          </w:p>
        </w:tc>
        <w:tc>
          <w:tcPr>
            <w:tcW w:w="1710" w:type="dxa"/>
          </w:tcPr>
          <w:p w:rsidR="001D71AD" w:rsidRPr="003A5D85" w:rsidRDefault="001D71AD" w:rsidP="00DF6B08">
            <w:pPr>
              <w:ind w:left="20"/>
              <w:jc w:val="both"/>
              <w:rPr>
                <w:sz w:val="18"/>
                <w:lang w:val="fr-CA"/>
              </w:rPr>
            </w:pPr>
            <w:r w:rsidRPr="003A5D85">
              <w:rPr>
                <w:sz w:val="18"/>
                <w:lang w:val="fr-CA"/>
              </w:rPr>
              <w:t>B</w:t>
            </w:r>
          </w:p>
        </w:tc>
      </w:tr>
      <w:tr w:rsidR="001D71AD" w:rsidRPr="003A5D85" w:rsidTr="00DF6B08">
        <w:trPr>
          <w:trHeight w:val="215"/>
        </w:trPr>
        <w:tc>
          <w:tcPr>
            <w:tcW w:w="2250" w:type="dxa"/>
          </w:tcPr>
          <w:p w:rsidR="001D71AD" w:rsidRPr="003A5D85" w:rsidRDefault="001D71AD" w:rsidP="00DF6B08">
            <w:pPr>
              <w:ind w:right="28"/>
              <w:jc w:val="both"/>
              <w:rPr>
                <w:sz w:val="18"/>
                <w:lang w:val="fr-CA"/>
              </w:rPr>
            </w:pPr>
            <w:r w:rsidRPr="003A5D85">
              <w:rPr>
                <w:b/>
                <w:bCs/>
                <w:sz w:val="18"/>
                <w:lang w:val="fr-CA"/>
              </w:rPr>
              <w:t>Population</w:t>
            </w:r>
          </w:p>
        </w:tc>
        <w:tc>
          <w:tcPr>
            <w:tcW w:w="1710" w:type="dxa"/>
          </w:tcPr>
          <w:p w:rsidR="001D71AD" w:rsidRPr="003A5D85" w:rsidRDefault="001D71AD" w:rsidP="00795CD9">
            <w:pPr>
              <w:jc w:val="both"/>
              <w:rPr>
                <w:sz w:val="18"/>
                <w:lang w:val="fr-CA"/>
              </w:rPr>
            </w:pPr>
            <w:r w:rsidRPr="003A5D85">
              <w:rPr>
                <w:bCs/>
                <w:sz w:val="18"/>
                <w:lang w:val="fr-CA"/>
              </w:rPr>
              <w:t>1,9 million</w:t>
            </w:r>
          </w:p>
        </w:tc>
        <w:tc>
          <w:tcPr>
            <w:tcW w:w="1710" w:type="dxa"/>
          </w:tcPr>
          <w:p w:rsidR="001D71AD" w:rsidRPr="003A5D85" w:rsidRDefault="001D71AD" w:rsidP="00795CD9">
            <w:pPr>
              <w:jc w:val="both"/>
              <w:rPr>
                <w:sz w:val="18"/>
                <w:lang w:val="fr-CA"/>
              </w:rPr>
            </w:pPr>
            <w:r w:rsidRPr="003A5D85">
              <w:rPr>
                <w:bCs/>
                <w:sz w:val="18"/>
                <w:lang w:val="fr-CA"/>
              </w:rPr>
              <w:t>10,5 millions</w:t>
            </w:r>
          </w:p>
        </w:tc>
        <w:tc>
          <w:tcPr>
            <w:tcW w:w="1710" w:type="dxa"/>
          </w:tcPr>
          <w:p w:rsidR="001D71AD" w:rsidRPr="003A5D85" w:rsidRDefault="001D71AD" w:rsidP="00DF6B08">
            <w:pPr>
              <w:ind w:left="20"/>
              <w:jc w:val="both"/>
              <w:rPr>
                <w:sz w:val="18"/>
                <w:lang w:val="fr-CA"/>
              </w:rPr>
            </w:pPr>
            <w:r w:rsidRPr="003A5D85">
              <w:rPr>
                <w:bCs/>
                <w:sz w:val="18"/>
                <w:lang w:val="fr-CA"/>
              </w:rPr>
              <w:t>6 millions</w:t>
            </w:r>
          </w:p>
        </w:tc>
      </w:tr>
      <w:tr w:rsidR="001D71AD" w:rsidRPr="003A5D85" w:rsidTr="00DF6B08">
        <w:trPr>
          <w:trHeight w:val="260"/>
        </w:trPr>
        <w:tc>
          <w:tcPr>
            <w:tcW w:w="2250" w:type="dxa"/>
          </w:tcPr>
          <w:p w:rsidR="001D71AD" w:rsidRPr="003A5D85" w:rsidRDefault="001D71AD" w:rsidP="00B31761">
            <w:pPr>
              <w:ind w:right="28"/>
              <w:jc w:val="both"/>
              <w:rPr>
                <w:sz w:val="18"/>
                <w:lang w:val="fr-CA"/>
              </w:rPr>
            </w:pPr>
            <w:r w:rsidRPr="003A5D85">
              <w:rPr>
                <w:b/>
                <w:bCs/>
                <w:sz w:val="18"/>
                <w:lang w:val="fr-CA"/>
              </w:rPr>
              <w:t>Taux de mortalité maternelle</w:t>
            </w:r>
          </w:p>
        </w:tc>
        <w:tc>
          <w:tcPr>
            <w:tcW w:w="1710" w:type="dxa"/>
          </w:tcPr>
          <w:p w:rsidR="001D71AD" w:rsidRPr="003A5D85" w:rsidRDefault="001D71AD" w:rsidP="00DF6B08">
            <w:pPr>
              <w:jc w:val="both"/>
              <w:rPr>
                <w:sz w:val="18"/>
                <w:lang w:val="fr-CA"/>
              </w:rPr>
            </w:pPr>
            <w:r w:rsidRPr="003A5D85">
              <w:rPr>
                <w:sz w:val="18"/>
                <w:lang w:val="fr-CA"/>
              </w:rPr>
              <w:t>180</w:t>
            </w:r>
          </w:p>
        </w:tc>
        <w:tc>
          <w:tcPr>
            <w:tcW w:w="1710" w:type="dxa"/>
          </w:tcPr>
          <w:p w:rsidR="001D71AD" w:rsidRPr="003A5D85" w:rsidRDefault="001D71AD" w:rsidP="00B31761">
            <w:pPr>
              <w:jc w:val="both"/>
              <w:rPr>
                <w:sz w:val="18"/>
                <w:lang w:val="fr-CA"/>
              </w:rPr>
            </w:pPr>
            <w:r w:rsidRPr="003A5D85">
              <w:rPr>
                <w:sz w:val="18"/>
                <w:lang w:val="fr-CA"/>
              </w:rPr>
              <w:t>1100 (le plus élevé du monde)</w:t>
            </w:r>
          </w:p>
        </w:tc>
        <w:tc>
          <w:tcPr>
            <w:tcW w:w="1710" w:type="dxa"/>
          </w:tcPr>
          <w:p w:rsidR="001D71AD" w:rsidRPr="003A5D85" w:rsidRDefault="001D71AD" w:rsidP="00DF6B08">
            <w:pPr>
              <w:ind w:left="20"/>
              <w:jc w:val="both"/>
              <w:rPr>
                <w:sz w:val="18"/>
                <w:lang w:val="fr-CA"/>
              </w:rPr>
            </w:pPr>
            <w:r w:rsidRPr="003A5D85">
              <w:rPr>
                <w:sz w:val="18"/>
                <w:lang w:val="fr-CA"/>
              </w:rPr>
              <w:t>99</w:t>
            </w:r>
          </w:p>
        </w:tc>
      </w:tr>
      <w:tr w:rsidR="001D71AD" w:rsidRPr="003A5D85" w:rsidTr="00DF6B08">
        <w:trPr>
          <w:trHeight w:val="386"/>
        </w:trPr>
        <w:tc>
          <w:tcPr>
            <w:tcW w:w="2250" w:type="dxa"/>
          </w:tcPr>
          <w:p w:rsidR="001D71AD" w:rsidRPr="003A5D85" w:rsidRDefault="001D71AD" w:rsidP="00B31761">
            <w:pPr>
              <w:ind w:right="28"/>
              <w:jc w:val="both"/>
              <w:rPr>
                <w:sz w:val="18"/>
                <w:lang w:val="fr-CA"/>
              </w:rPr>
            </w:pPr>
            <w:r w:rsidRPr="003A5D85">
              <w:rPr>
                <w:b/>
                <w:bCs/>
                <w:sz w:val="18"/>
                <w:lang w:val="fr-CA"/>
              </w:rPr>
              <w:t>Taux de prévalence de la contraception (moderne)</w:t>
            </w:r>
          </w:p>
        </w:tc>
        <w:tc>
          <w:tcPr>
            <w:tcW w:w="1710" w:type="dxa"/>
          </w:tcPr>
          <w:p w:rsidR="001D71AD" w:rsidRPr="003A5D85" w:rsidRDefault="001D71AD" w:rsidP="00DF6B08">
            <w:pPr>
              <w:jc w:val="both"/>
              <w:rPr>
                <w:sz w:val="18"/>
                <w:lang w:val="fr-CA"/>
              </w:rPr>
            </w:pPr>
            <w:r w:rsidRPr="003A5D85">
              <w:rPr>
                <w:sz w:val="18"/>
                <w:lang w:val="fr-CA"/>
              </w:rPr>
              <w:t>35%</w:t>
            </w:r>
          </w:p>
        </w:tc>
        <w:tc>
          <w:tcPr>
            <w:tcW w:w="1710" w:type="dxa"/>
          </w:tcPr>
          <w:p w:rsidR="001D71AD" w:rsidRPr="003A5D85" w:rsidRDefault="001D71AD" w:rsidP="003A5D85">
            <w:pPr>
              <w:jc w:val="both"/>
              <w:rPr>
                <w:sz w:val="18"/>
                <w:lang w:val="fr-CA"/>
              </w:rPr>
            </w:pPr>
            <w:r w:rsidRPr="003A5D85">
              <w:rPr>
                <w:sz w:val="18"/>
                <w:lang w:val="fr-CA"/>
              </w:rPr>
              <w:t>1.7% (l</w:t>
            </w:r>
            <w:r>
              <w:rPr>
                <w:sz w:val="18"/>
                <w:lang w:val="fr-CA"/>
              </w:rPr>
              <w:t>e plus bas du monde</w:t>
            </w:r>
            <w:r w:rsidRPr="003A5D85">
              <w:rPr>
                <w:sz w:val="18"/>
                <w:lang w:val="fr-CA"/>
              </w:rPr>
              <w:t>)</w:t>
            </w:r>
          </w:p>
        </w:tc>
        <w:tc>
          <w:tcPr>
            <w:tcW w:w="1710" w:type="dxa"/>
          </w:tcPr>
          <w:p w:rsidR="001D71AD" w:rsidRPr="003A5D85" w:rsidRDefault="001D71AD" w:rsidP="00DF6B08">
            <w:pPr>
              <w:ind w:left="20"/>
              <w:jc w:val="both"/>
              <w:rPr>
                <w:sz w:val="18"/>
                <w:lang w:val="fr-CA"/>
              </w:rPr>
            </w:pPr>
            <w:r w:rsidRPr="003A5D85">
              <w:rPr>
                <w:sz w:val="18"/>
                <w:lang w:val="fr-CA"/>
              </w:rPr>
              <w:t>70.1%</w:t>
            </w:r>
          </w:p>
        </w:tc>
      </w:tr>
      <w:tr w:rsidR="001D71AD" w:rsidRPr="003A5D85" w:rsidTr="00DF6B08">
        <w:trPr>
          <w:trHeight w:val="152"/>
        </w:trPr>
        <w:tc>
          <w:tcPr>
            <w:tcW w:w="2250" w:type="dxa"/>
          </w:tcPr>
          <w:p w:rsidR="001D71AD" w:rsidRPr="003A5D85" w:rsidRDefault="001D71AD" w:rsidP="00B31761">
            <w:pPr>
              <w:ind w:right="28"/>
              <w:jc w:val="both"/>
              <w:rPr>
                <w:sz w:val="18"/>
                <w:lang w:val="fr-CA"/>
              </w:rPr>
            </w:pPr>
            <w:r w:rsidRPr="003A5D85">
              <w:rPr>
                <w:b/>
                <w:bCs/>
                <w:sz w:val="18"/>
                <w:lang w:val="fr-CA"/>
              </w:rPr>
              <w:t>Catégorie de revenus</w:t>
            </w:r>
          </w:p>
        </w:tc>
        <w:tc>
          <w:tcPr>
            <w:tcW w:w="1710" w:type="dxa"/>
          </w:tcPr>
          <w:p w:rsidR="001D71AD" w:rsidRPr="003A5D85" w:rsidRDefault="001D71AD" w:rsidP="000F00C1">
            <w:pPr>
              <w:jc w:val="both"/>
              <w:rPr>
                <w:sz w:val="18"/>
                <w:lang w:val="fr-CA"/>
              </w:rPr>
            </w:pPr>
            <w:r w:rsidRPr="003A5D85">
              <w:rPr>
                <w:sz w:val="18"/>
                <w:lang w:val="fr-CA"/>
              </w:rPr>
              <w:t xml:space="preserve">moyens </w:t>
            </w:r>
            <w:r>
              <w:rPr>
                <w:sz w:val="18"/>
                <w:lang w:val="fr-CA"/>
              </w:rPr>
              <w:t>tranche sup</w:t>
            </w:r>
          </w:p>
        </w:tc>
        <w:tc>
          <w:tcPr>
            <w:tcW w:w="1710" w:type="dxa"/>
          </w:tcPr>
          <w:p w:rsidR="001D71AD" w:rsidRPr="003A5D85" w:rsidRDefault="001D71AD" w:rsidP="000D0D47">
            <w:pPr>
              <w:jc w:val="both"/>
              <w:rPr>
                <w:sz w:val="18"/>
                <w:lang w:val="fr-CA"/>
              </w:rPr>
            </w:pPr>
            <w:r w:rsidRPr="003A5D85">
              <w:rPr>
                <w:sz w:val="18"/>
                <w:lang w:val="fr-CA"/>
              </w:rPr>
              <w:t>Faibles</w:t>
            </w:r>
          </w:p>
        </w:tc>
        <w:tc>
          <w:tcPr>
            <w:tcW w:w="1710" w:type="dxa"/>
          </w:tcPr>
          <w:p w:rsidR="001D71AD" w:rsidRPr="003A5D85" w:rsidRDefault="001D71AD" w:rsidP="000D0D47">
            <w:pPr>
              <w:ind w:left="20"/>
              <w:jc w:val="both"/>
              <w:rPr>
                <w:sz w:val="18"/>
                <w:lang w:val="fr-CA"/>
              </w:rPr>
            </w:pPr>
            <w:r w:rsidRPr="003A5D85">
              <w:rPr>
                <w:sz w:val="18"/>
                <w:lang w:val="fr-CA"/>
              </w:rPr>
              <w:t>Faibles-moyens</w:t>
            </w:r>
          </w:p>
        </w:tc>
      </w:tr>
      <w:tr w:rsidR="001D71AD" w:rsidRPr="003A5D85" w:rsidTr="00DF6B08">
        <w:trPr>
          <w:trHeight w:val="305"/>
        </w:trPr>
        <w:tc>
          <w:tcPr>
            <w:tcW w:w="2250" w:type="dxa"/>
          </w:tcPr>
          <w:p w:rsidR="001D71AD" w:rsidRPr="003A5D85" w:rsidRDefault="001D71AD" w:rsidP="000D0D47">
            <w:pPr>
              <w:ind w:right="28"/>
              <w:jc w:val="both"/>
              <w:rPr>
                <w:sz w:val="18"/>
                <w:lang w:val="fr-CA"/>
              </w:rPr>
            </w:pPr>
            <w:r w:rsidRPr="003A5D85">
              <w:rPr>
                <w:b/>
                <w:bCs/>
                <w:sz w:val="18"/>
                <w:lang w:val="fr-CA"/>
              </w:rPr>
              <w:t>Ressources de base par tête</w:t>
            </w:r>
          </w:p>
        </w:tc>
        <w:tc>
          <w:tcPr>
            <w:tcW w:w="1710" w:type="dxa"/>
          </w:tcPr>
          <w:p w:rsidR="001D71AD" w:rsidRPr="003A5D85" w:rsidRDefault="001D71AD" w:rsidP="000D0D47">
            <w:pPr>
              <w:jc w:val="both"/>
              <w:rPr>
                <w:b/>
                <w:i/>
                <w:sz w:val="18"/>
                <w:u w:val="single"/>
                <w:lang w:val="fr-CA"/>
              </w:rPr>
            </w:pPr>
            <w:r w:rsidRPr="003A5D85">
              <w:rPr>
                <w:b/>
                <w:bCs/>
                <w:i/>
                <w:iCs/>
                <w:sz w:val="18"/>
                <w:u w:val="single"/>
                <w:lang w:val="fr-CA"/>
              </w:rPr>
              <w:t>$0,54</w:t>
            </w:r>
          </w:p>
        </w:tc>
        <w:tc>
          <w:tcPr>
            <w:tcW w:w="1710" w:type="dxa"/>
          </w:tcPr>
          <w:p w:rsidR="001D71AD" w:rsidRPr="003A5D85" w:rsidRDefault="001D71AD" w:rsidP="000D0D47">
            <w:pPr>
              <w:jc w:val="both"/>
              <w:rPr>
                <w:b/>
                <w:i/>
                <w:sz w:val="18"/>
                <w:u w:val="single"/>
                <w:lang w:val="fr-CA"/>
              </w:rPr>
            </w:pPr>
            <w:r w:rsidRPr="003A5D85">
              <w:rPr>
                <w:b/>
                <w:bCs/>
                <w:i/>
                <w:iCs/>
                <w:sz w:val="18"/>
                <w:u w:val="single"/>
                <w:lang w:val="fr-CA"/>
              </w:rPr>
              <w:t>$0,24</w:t>
            </w:r>
          </w:p>
        </w:tc>
        <w:tc>
          <w:tcPr>
            <w:tcW w:w="1710" w:type="dxa"/>
          </w:tcPr>
          <w:p w:rsidR="001D71AD" w:rsidRPr="003A5D85" w:rsidRDefault="001D71AD" w:rsidP="000D0D47">
            <w:pPr>
              <w:ind w:left="20"/>
              <w:jc w:val="both"/>
              <w:rPr>
                <w:b/>
                <w:i/>
                <w:sz w:val="18"/>
                <w:u w:val="single"/>
                <w:lang w:val="fr-CA"/>
              </w:rPr>
            </w:pPr>
            <w:r w:rsidRPr="003A5D85">
              <w:rPr>
                <w:b/>
                <w:bCs/>
                <w:i/>
                <w:iCs/>
                <w:sz w:val="18"/>
                <w:u w:val="single"/>
                <w:lang w:val="fr-CA"/>
              </w:rPr>
              <w:t>$0,20</w:t>
            </w:r>
          </w:p>
        </w:tc>
      </w:tr>
    </w:tbl>
    <w:p w:rsidR="001D71AD" w:rsidRPr="003A5D85" w:rsidRDefault="001D71AD" w:rsidP="000824F9">
      <w:pPr>
        <w:ind w:left="1080" w:right="720"/>
        <w:jc w:val="both"/>
        <w:rPr>
          <w:lang w:val="fr-CA"/>
        </w:rPr>
      </w:pPr>
    </w:p>
    <w:p w:rsidR="001D71AD" w:rsidRPr="000E3B04" w:rsidRDefault="001D71AD" w:rsidP="00BB13A1">
      <w:pPr>
        <w:numPr>
          <w:ilvl w:val="0"/>
          <w:numId w:val="4"/>
        </w:numPr>
        <w:ind w:left="1080" w:right="720" w:firstLine="0"/>
        <w:jc w:val="both"/>
        <w:rPr>
          <w:lang w:val="fr-FR"/>
        </w:rPr>
      </w:pPr>
      <w:r w:rsidRPr="003713FD">
        <w:rPr>
          <w:lang w:val="fr-FR"/>
        </w:rPr>
        <w:t>Les conséquences de ce biais favorisant les petits pays sont significatives car les effets cumul</w:t>
      </w:r>
      <w:r>
        <w:rPr>
          <w:lang w:val="fr-FR"/>
        </w:rPr>
        <w:t>és sont conséquents</w:t>
      </w:r>
      <w:r w:rsidRPr="003713FD">
        <w:rPr>
          <w:lang w:val="fr-FR"/>
        </w:rPr>
        <w:t xml:space="preserve">.Par exemple, bien que moins de 5% de la population totale des pays dans lesquels </w:t>
      </w:r>
      <w:r>
        <w:rPr>
          <w:lang w:val="fr-FR"/>
        </w:rPr>
        <w:t>œuvre l’</w:t>
      </w:r>
      <w:r w:rsidRPr="003713FD">
        <w:rPr>
          <w:lang w:val="fr-FR"/>
        </w:rPr>
        <w:t xml:space="preserve">UNFPA </w:t>
      </w:r>
      <w:r>
        <w:rPr>
          <w:lang w:val="fr-FR"/>
        </w:rPr>
        <w:t xml:space="preserve">vivent dans des pays comptant 10 millions d’habitants ou </w:t>
      </w:r>
      <w:r>
        <w:rPr>
          <w:lang w:val="fr-FR"/>
        </w:rPr>
        <w:lastRenderedPageBreak/>
        <w:t xml:space="preserve">moins, ils reçoivent </w:t>
      </w:r>
      <w:r w:rsidRPr="003713FD">
        <w:rPr>
          <w:lang w:val="fr-FR"/>
        </w:rPr>
        <w:t xml:space="preserve">26% </w:t>
      </w:r>
      <w:r>
        <w:rPr>
          <w:lang w:val="fr-FR"/>
        </w:rPr>
        <w:t>des ressources de base de l’</w:t>
      </w:r>
      <w:r w:rsidRPr="003713FD">
        <w:rPr>
          <w:lang w:val="fr-FR"/>
        </w:rPr>
        <w:t xml:space="preserve">UNFPA. </w:t>
      </w:r>
      <w:r w:rsidRPr="000E3B04">
        <w:rPr>
          <w:lang w:val="fr-FR"/>
        </w:rPr>
        <w:t>Par contre, les pays de plus de 50 millions d’habitants représentent 77% de la population totale dans lesquels œuvre l</w:t>
      </w:r>
      <w:r>
        <w:rPr>
          <w:lang w:val="fr-FR"/>
        </w:rPr>
        <w:t>’UNFPA</w:t>
      </w:r>
      <w:r w:rsidRPr="000E3B04">
        <w:rPr>
          <w:lang w:val="fr-FR"/>
        </w:rPr>
        <w:t xml:space="preserve">, </w:t>
      </w:r>
      <w:r>
        <w:rPr>
          <w:lang w:val="fr-FR"/>
        </w:rPr>
        <w:t xml:space="preserve">mais ils ne reçoivent que 31 </w:t>
      </w:r>
      <w:r w:rsidRPr="000E3B04">
        <w:rPr>
          <w:lang w:val="fr-FR"/>
        </w:rPr>
        <w:t xml:space="preserve">% </w:t>
      </w:r>
      <w:r>
        <w:rPr>
          <w:lang w:val="fr-FR"/>
        </w:rPr>
        <w:t xml:space="preserve">des ressources de base. </w:t>
      </w:r>
    </w:p>
    <w:p w:rsidR="001D71AD" w:rsidRPr="000E3B04"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Pr>
          <w:lang w:val="fr-FR"/>
        </w:rPr>
        <w:t xml:space="preserve">En conséquence, </w:t>
      </w:r>
      <w:r w:rsidRPr="000E3B04">
        <w:rPr>
          <w:lang w:val="fr-FR"/>
        </w:rPr>
        <w:t xml:space="preserve">les pays confrontés au plus grand nombre de décès maternels et au plus grand nombre de personnes aux besoins </w:t>
      </w:r>
      <w:r>
        <w:rPr>
          <w:lang w:val="fr-FR"/>
        </w:rPr>
        <w:t xml:space="preserve">en contraceptifs non satisfaits, reçoivent une quantité très petite, en proportion, des ressources de base de l’UNFPA comme l’indique la Figure 2. </w:t>
      </w:r>
    </w:p>
    <w:p w:rsidR="001D71AD" w:rsidRPr="0064045D" w:rsidRDefault="001D71AD" w:rsidP="000824F9">
      <w:pPr>
        <w:ind w:left="1080" w:right="720"/>
        <w:jc w:val="both"/>
        <w:rPr>
          <w:lang w:val="fr-FR"/>
        </w:rPr>
      </w:pPr>
    </w:p>
    <w:p w:rsidR="001D71AD" w:rsidRPr="0064045D" w:rsidRDefault="001D71AD" w:rsidP="000824F9">
      <w:pPr>
        <w:ind w:left="1080" w:right="720"/>
        <w:jc w:val="both"/>
        <w:rPr>
          <w:b/>
          <w:lang w:val="fr-FR"/>
        </w:rPr>
      </w:pPr>
      <w:r w:rsidRPr="0064045D">
        <w:rPr>
          <w:b/>
          <w:lang w:val="fr-FR"/>
        </w:rPr>
        <w:t>Figure 2: Décalage entre besoin</w:t>
      </w:r>
      <w:r>
        <w:rPr>
          <w:b/>
          <w:lang w:val="fr-FR"/>
        </w:rPr>
        <w:t>s</w:t>
      </w:r>
      <w:r w:rsidRPr="0064045D">
        <w:rPr>
          <w:b/>
          <w:lang w:val="fr-FR"/>
        </w:rPr>
        <w:t xml:space="preserve"> et attribution de ressources </w:t>
      </w:r>
    </w:p>
    <w:p w:rsidR="001D71AD" w:rsidRPr="00F84D3B" w:rsidRDefault="00675BF5" w:rsidP="000824F9">
      <w:pPr>
        <w:ind w:left="1080" w:right="720"/>
        <w:jc w:val="both"/>
        <w:rPr>
          <w:lang w:val="en-US"/>
        </w:rPr>
      </w:pPr>
      <w:r>
        <w:rPr>
          <w:noProof/>
          <w:lang w:val="en-US"/>
        </w:rPr>
        <w:drawing>
          <wp:inline distT="0" distB="0" distL="0" distR="0">
            <wp:extent cx="4781550" cy="2524125"/>
            <wp:effectExtent l="0" t="0" r="0" b="9525"/>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2524125"/>
                    </a:xfrm>
                    <a:prstGeom prst="rect">
                      <a:avLst/>
                    </a:prstGeom>
                    <a:noFill/>
                    <a:ln>
                      <a:noFill/>
                    </a:ln>
                  </pic:spPr>
                </pic:pic>
              </a:graphicData>
            </a:graphic>
          </wp:inline>
        </w:drawing>
      </w:r>
    </w:p>
    <w:p w:rsidR="001D71AD" w:rsidRPr="00D63F62" w:rsidRDefault="001D71AD" w:rsidP="000824F9">
      <w:pPr>
        <w:ind w:left="1080" w:right="720"/>
        <w:jc w:val="both"/>
        <w:rPr>
          <w:sz w:val="16"/>
          <w:szCs w:val="16"/>
          <w:lang w:val="fr-FR"/>
        </w:rPr>
      </w:pPr>
      <w:r>
        <w:rPr>
          <w:lang w:val="en-US"/>
        </w:rPr>
        <w:tab/>
      </w:r>
      <w:r>
        <w:rPr>
          <w:lang w:val="en-US"/>
        </w:rPr>
        <w:tab/>
      </w:r>
      <w:r>
        <w:rPr>
          <w:lang w:val="en-US"/>
        </w:rPr>
        <w:tab/>
      </w:r>
      <w:r w:rsidRPr="00D63F62">
        <w:rPr>
          <w:sz w:val="16"/>
          <w:szCs w:val="16"/>
          <w:lang w:val="fr-FR"/>
        </w:rPr>
        <w:t>5 pays comptant le plus grand nombre</w:t>
      </w:r>
      <w:r>
        <w:rPr>
          <w:sz w:val="16"/>
          <w:szCs w:val="16"/>
          <w:lang w:val="fr-FR"/>
        </w:rPr>
        <w:tab/>
        <w:t xml:space="preserve">5 pays comptant le plus grand nombre de </w:t>
      </w:r>
    </w:p>
    <w:p w:rsidR="001D71AD" w:rsidRPr="00D63F62" w:rsidRDefault="001D71AD" w:rsidP="000824F9">
      <w:pPr>
        <w:ind w:left="1080" w:right="720"/>
        <w:jc w:val="both"/>
        <w:rPr>
          <w:sz w:val="16"/>
          <w:szCs w:val="16"/>
          <w:lang w:val="fr-FR"/>
        </w:rPr>
      </w:pPr>
      <w:r>
        <w:rPr>
          <w:sz w:val="16"/>
          <w:szCs w:val="16"/>
          <w:lang w:val="fr-FR"/>
        </w:rPr>
        <w:t>de décès maternels</w:t>
      </w:r>
      <w:r>
        <w:rPr>
          <w:sz w:val="16"/>
          <w:szCs w:val="16"/>
          <w:lang w:val="fr-FR"/>
        </w:rPr>
        <w:tab/>
      </w:r>
      <w:r>
        <w:rPr>
          <w:sz w:val="16"/>
          <w:szCs w:val="16"/>
          <w:lang w:val="fr-FR"/>
        </w:rPr>
        <w:tab/>
      </w:r>
      <w:r>
        <w:rPr>
          <w:sz w:val="16"/>
          <w:szCs w:val="16"/>
          <w:lang w:val="fr-FR"/>
        </w:rPr>
        <w:tab/>
      </w:r>
      <w:r>
        <w:rPr>
          <w:sz w:val="16"/>
          <w:szCs w:val="16"/>
          <w:lang w:val="fr-FR"/>
        </w:rPr>
        <w:tab/>
        <w:t>de besoins non satisfaits (parmi 69 pays prioritaires</w:t>
      </w:r>
    </w:p>
    <w:p w:rsidR="001D71AD" w:rsidRPr="00D63F62" w:rsidRDefault="001D71AD" w:rsidP="000824F9">
      <w:pPr>
        <w:ind w:left="1080" w:right="720"/>
        <w:jc w:val="both"/>
        <w:rPr>
          <w:lang w:val="fr-FR"/>
        </w:rPr>
      </w:pPr>
      <w:r>
        <w:rPr>
          <w:lang w:val="fr-FR"/>
        </w:rPr>
        <w:t>Pourcentage d</w:t>
      </w:r>
      <w:r w:rsidRPr="00D63F62">
        <w:rPr>
          <w:lang w:val="fr-FR"/>
        </w:rPr>
        <w:t xml:space="preserve">e décès maternels/besoins non satisfaits et de ressources de base </w:t>
      </w:r>
    </w:p>
    <w:p w:rsidR="001D71AD" w:rsidRPr="00D63F62" w:rsidRDefault="001D71AD" w:rsidP="000824F9">
      <w:pPr>
        <w:ind w:left="1080" w:right="720"/>
        <w:jc w:val="both"/>
        <w:rPr>
          <w:lang w:val="fr-FR"/>
        </w:rPr>
      </w:pPr>
      <w:r>
        <w:rPr>
          <w:sz w:val="16"/>
          <w:szCs w:val="16"/>
          <w:lang w:val="fr-FR"/>
        </w:rPr>
        <w:t>Décès maternels</w:t>
      </w:r>
      <w:r w:rsidRPr="00D63F62">
        <w:rPr>
          <w:lang w:val="fr-FR"/>
        </w:rPr>
        <w:tab/>
      </w:r>
      <w:r w:rsidRPr="00DF543F">
        <w:rPr>
          <w:sz w:val="16"/>
          <w:szCs w:val="16"/>
          <w:lang w:val="fr-FR"/>
        </w:rPr>
        <w:t>Ressources de base</w:t>
      </w:r>
      <w:r w:rsidRPr="00D63F62">
        <w:rPr>
          <w:lang w:val="fr-FR"/>
        </w:rPr>
        <w:tab/>
      </w:r>
      <w:r w:rsidRPr="00DF543F">
        <w:rPr>
          <w:sz w:val="16"/>
          <w:szCs w:val="16"/>
          <w:lang w:val="fr-FR"/>
        </w:rPr>
        <w:t>Besoins de contraceptifs</w:t>
      </w:r>
      <w:r w:rsidRPr="00D63F62">
        <w:rPr>
          <w:lang w:val="fr-FR"/>
        </w:rPr>
        <w:tab/>
      </w:r>
      <w:r w:rsidRPr="00DF543F">
        <w:rPr>
          <w:sz w:val="16"/>
          <w:szCs w:val="16"/>
          <w:lang w:val="fr-FR"/>
        </w:rPr>
        <w:t>Ressources</w:t>
      </w:r>
      <w:r w:rsidRPr="00DF543F">
        <w:rPr>
          <w:sz w:val="16"/>
          <w:szCs w:val="16"/>
          <w:lang w:val="fr-FR"/>
        </w:rPr>
        <w:tab/>
      </w:r>
      <w:r w:rsidRPr="00D63F62">
        <w:rPr>
          <w:lang w:val="fr-FR"/>
        </w:rPr>
        <w:tab/>
      </w:r>
      <w:r w:rsidRPr="00D63F62">
        <w:rPr>
          <w:lang w:val="fr-FR"/>
        </w:rPr>
        <w:tab/>
      </w:r>
      <w:r w:rsidRPr="00D63F62">
        <w:rPr>
          <w:lang w:val="fr-FR"/>
        </w:rPr>
        <w:tab/>
      </w:r>
      <w:r w:rsidRPr="00D63F62">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DF543F">
        <w:rPr>
          <w:sz w:val="16"/>
          <w:szCs w:val="16"/>
          <w:lang w:val="fr-FR"/>
        </w:rPr>
        <w:t>non satisfaits</w:t>
      </w:r>
      <w:r>
        <w:rPr>
          <w:sz w:val="16"/>
          <w:szCs w:val="16"/>
          <w:lang w:val="fr-FR"/>
        </w:rPr>
        <w:tab/>
      </w:r>
      <w:r>
        <w:rPr>
          <w:sz w:val="16"/>
          <w:szCs w:val="16"/>
          <w:lang w:val="fr-FR"/>
        </w:rPr>
        <w:tab/>
        <w:t>de base</w:t>
      </w:r>
    </w:p>
    <w:p w:rsidR="001D71AD" w:rsidRPr="00D63F62"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DF543F">
        <w:rPr>
          <w:lang w:val="fr-FR"/>
        </w:rPr>
        <w:t xml:space="preserve">Ces résultats sont problématiques du point de vue des droits humains pour une organisation </w:t>
      </w:r>
      <w:r>
        <w:rPr>
          <w:lang w:val="fr-FR"/>
        </w:rPr>
        <w:t>investie</w:t>
      </w:r>
      <w:r w:rsidRPr="00DF543F">
        <w:rPr>
          <w:lang w:val="fr-FR"/>
        </w:rPr>
        <w:t xml:space="preserve"> d’un </w:t>
      </w:r>
      <w:r>
        <w:rPr>
          <w:lang w:val="fr-FR"/>
        </w:rPr>
        <w:t>mandat</w:t>
      </w:r>
      <w:r w:rsidRPr="00DF543F">
        <w:rPr>
          <w:lang w:val="fr-FR"/>
        </w:rPr>
        <w:t xml:space="preserve"> universel : les femmes vivant dans </w:t>
      </w:r>
      <w:r>
        <w:rPr>
          <w:lang w:val="fr-FR"/>
        </w:rPr>
        <w:t>un grand</w:t>
      </w:r>
      <w:r w:rsidRPr="00DF543F">
        <w:rPr>
          <w:lang w:val="fr-FR"/>
        </w:rPr>
        <w:t xml:space="preserve"> pays </w:t>
      </w:r>
      <w:r>
        <w:rPr>
          <w:lang w:val="fr-FR"/>
        </w:rPr>
        <w:t>reçoivent beaucoup moins d’aide de l’UNFPA que celles vivant dans un petit pays pour la simple raison qu’elles habitent un pays plus peuplé.</w:t>
      </w:r>
      <w:r w:rsidRPr="00506DCD">
        <w:rPr>
          <w:lang w:val="fr-FR"/>
        </w:rPr>
        <w:t>Il y a cependant un nombre de motifs possibles pour le biais favorisant les petits pays et il n’est pas nécessairement approprié que chaque pays re</w:t>
      </w:r>
      <w:r>
        <w:rPr>
          <w:lang w:val="fr-FR"/>
        </w:rPr>
        <w:t xml:space="preserve">çoive une attribution identique par tête des ressources de l’UNFPA. </w:t>
      </w:r>
    </w:p>
    <w:p w:rsidR="001D71AD" w:rsidRPr="0064045D"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506DCD">
        <w:rPr>
          <w:lang w:val="fr-FR"/>
        </w:rPr>
        <w:t>Les coûts, par exemple de la programmation dans les petits pays pourrai</w:t>
      </w:r>
      <w:r>
        <w:rPr>
          <w:lang w:val="fr-FR"/>
        </w:rPr>
        <w:t>en</w:t>
      </w:r>
      <w:r w:rsidRPr="00506DCD">
        <w:rPr>
          <w:lang w:val="fr-FR"/>
        </w:rPr>
        <w:t>t être systématiquement plus élevé</w:t>
      </w:r>
      <w:r>
        <w:rPr>
          <w:lang w:val="fr-FR"/>
        </w:rPr>
        <w:t>s</w:t>
      </w:r>
      <w:r w:rsidRPr="00506DCD">
        <w:rPr>
          <w:lang w:val="fr-FR"/>
        </w:rPr>
        <w:t xml:space="preserve"> que ceux de la programmation dans les grands pays en raison de</w:t>
      </w:r>
      <w:r>
        <w:rPr>
          <w:lang w:val="fr-FR"/>
        </w:rPr>
        <w:t xml:space="preserve"> la</w:t>
      </w:r>
      <w:r w:rsidRPr="00506DCD">
        <w:rPr>
          <w:lang w:val="fr-FR"/>
        </w:rPr>
        <w:t>déséconomie d’échell</w:t>
      </w:r>
      <w:r>
        <w:rPr>
          <w:lang w:val="fr-FR"/>
        </w:rPr>
        <w:t>e).</w:t>
      </w:r>
      <w:r w:rsidRPr="00542478">
        <w:rPr>
          <w:lang w:val="fr-FR"/>
        </w:rPr>
        <w:t>Le décalage pourrait aussi s</w:t>
      </w:r>
      <w:r>
        <w:rPr>
          <w:lang w:val="fr-FR"/>
        </w:rPr>
        <w:t>e justifier</w:t>
      </w:r>
      <w:r w:rsidRPr="00542478">
        <w:rPr>
          <w:lang w:val="fr-FR"/>
        </w:rPr>
        <w:t xml:space="preserve"> par une théorie du changement qui pourrait </w:t>
      </w:r>
      <w:r>
        <w:rPr>
          <w:lang w:val="fr-FR"/>
        </w:rPr>
        <w:t xml:space="preserve">expliquer </w:t>
      </w:r>
      <w:r w:rsidRPr="00542478">
        <w:rPr>
          <w:lang w:val="fr-FR"/>
        </w:rPr>
        <w:t>l’impact plusimportant que peut avoir l</w:t>
      </w:r>
      <w:r>
        <w:rPr>
          <w:lang w:val="fr-FR"/>
        </w:rPr>
        <w:t xml:space="preserve">’UNFPA dans les petits pays que dans les grands. </w:t>
      </w:r>
    </w:p>
    <w:p w:rsidR="001D71AD" w:rsidRPr="0064045D" w:rsidRDefault="001D71AD" w:rsidP="000824F9">
      <w:pPr>
        <w:ind w:left="1080" w:right="720"/>
        <w:jc w:val="both"/>
        <w:rPr>
          <w:lang w:val="fr-FR"/>
        </w:rPr>
      </w:pPr>
    </w:p>
    <w:p w:rsidR="001D71AD" w:rsidRPr="00542478" w:rsidRDefault="001D71AD" w:rsidP="00BB13A1">
      <w:pPr>
        <w:numPr>
          <w:ilvl w:val="0"/>
          <w:numId w:val="4"/>
        </w:numPr>
        <w:ind w:left="1080" w:right="720" w:firstLine="0"/>
        <w:jc w:val="both"/>
        <w:rPr>
          <w:lang w:val="fr-FR"/>
        </w:rPr>
      </w:pPr>
      <w:r w:rsidRPr="00542478">
        <w:rPr>
          <w:lang w:val="fr-FR"/>
        </w:rPr>
        <w:t>Or, la difficulté actuellement, e</w:t>
      </w:r>
      <w:r>
        <w:rPr>
          <w:lang w:val="fr-FR"/>
        </w:rPr>
        <w:t>st qu’aucun de ces motifs n’étay</w:t>
      </w:r>
      <w:r w:rsidRPr="00542478">
        <w:rPr>
          <w:lang w:val="fr-FR"/>
        </w:rPr>
        <w:t>e le biais en faveur des petits pays. Cela le rend particulièrement problématique pour une organisation comme l’UNFPA dont le principe cl</w:t>
      </w:r>
      <w:r>
        <w:rPr>
          <w:lang w:val="fr-FR"/>
        </w:rPr>
        <w:t xml:space="preserve">é est les droits humains. </w:t>
      </w:r>
    </w:p>
    <w:p w:rsidR="001D71AD" w:rsidRPr="00542478" w:rsidRDefault="001D71AD" w:rsidP="000824F9">
      <w:pPr>
        <w:ind w:left="1080" w:right="720"/>
        <w:jc w:val="both"/>
        <w:rPr>
          <w:lang w:val="fr-FR"/>
        </w:rPr>
      </w:pPr>
    </w:p>
    <w:p w:rsidR="001D71AD" w:rsidRPr="000824F9" w:rsidRDefault="001D71AD" w:rsidP="00BB13A1">
      <w:pPr>
        <w:pStyle w:val="Heading3"/>
        <w:numPr>
          <w:ilvl w:val="0"/>
          <w:numId w:val="22"/>
        </w:numPr>
        <w:ind w:left="1440"/>
      </w:pPr>
      <w:r w:rsidRPr="002B6FE2">
        <w:rPr>
          <w:lang w:val="fr-FR"/>
        </w:rPr>
        <w:t>Les a</w:t>
      </w:r>
      <w:r w:rsidRPr="00637392">
        <w:rPr>
          <w:lang w:val="fr-FR"/>
        </w:rPr>
        <w:t>ttributions de ressources n</w:t>
      </w:r>
      <w:r>
        <w:rPr>
          <w:lang w:val="fr-FR"/>
        </w:rPr>
        <w:t>e s</w:t>
      </w:r>
      <w:r w:rsidRPr="00637392">
        <w:rPr>
          <w:lang w:val="fr-FR"/>
        </w:rPr>
        <w:t>on</w:t>
      </w:r>
      <w:r>
        <w:rPr>
          <w:lang w:val="fr-FR"/>
        </w:rPr>
        <w:t>t pas</w:t>
      </w:r>
      <w:r w:rsidRPr="00637392">
        <w:rPr>
          <w:lang w:val="fr-FR"/>
        </w:rPr>
        <w:t xml:space="preserve"> s</w:t>
      </w:r>
      <w:r>
        <w:rPr>
          <w:lang w:val="fr-FR"/>
        </w:rPr>
        <w:t>y</w:t>
      </w:r>
      <w:r w:rsidRPr="00637392">
        <w:rPr>
          <w:lang w:val="fr-FR"/>
        </w:rPr>
        <w:t>stématiquement liées aux interventions de l</w:t>
      </w:r>
      <w:r>
        <w:rPr>
          <w:lang w:val="fr-FR"/>
        </w:rPr>
        <w:t>’</w:t>
      </w:r>
      <w:r w:rsidRPr="000824F9">
        <w:t xml:space="preserve">UNFPA </w:t>
      </w:r>
    </w:p>
    <w:p w:rsidR="001D71AD" w:rsidRPr="00637392" w:rsidRDefault="001D71AD" w:rsidP="000824F9">
      <w:pPr>
        <w:ind w:left="1080" w:right="720"/>
        <w:jc w:val="both"/>
      </w:pPr>
    </w:p>
    <w:p w:rsidR="001D71AD" w:rsidRPr="0064045D" w:rsidRDefault="001D71AD" w:rsidP="00BB13A1">
      <w:pPr>
        <w:numPr>
          <w:ilvl w:val="0"/>
          <w:numId w:val="4"/>
        </w:numPr>
        <w:ind w:left="1080" w:right="720" w:firstLine="0"/>
        <w:jc w:val="both"/>
        <w:rPr>
          <w:lang w:val="fr-FR"/>
        </w:rPr>
      </w:pPr>
      <w:r w:rsidRPr="00637392">
        <w:rPr>
          <w:lang w:val="fr-FR"/>
        </w:rPr>
        <w:lastRenderedPageBreak/>
        <w:t xml:space="preserve">La programmation de l’UNFPA est adaptée aux cadres dans lesquels il œuvre afin de répondre aux besoins sur le terrain et aux capacités </w:t>
      </w:r>
      <w:r>
        <w:rPr>
          <w:lang w:val="fr-FR"/>
        </w:rPr>
        <w:t>pré</w:t>
      </w:r>
      <w:r w:rsidRPr="00637392">
        <w:rPr>
          <w:lang w:val="fr-FR"/>
        </w:rPr>
        <w:t>sent</w:t>
      </w:r>
      <w:r>
        <w:rPr>
          <w:lang w:val="fr-FR"/>
        </w:rPr>
        <w:t>e</w:t>
      </w:r>
      <w:r w:rsidRPr="00637392">
        <w:rPr>
          <w:lang w:val="fr-FR"/>
        </w:rPr>
        <w:t xml:space="preserve">s chez les partenaires.Ainsi, au Brésil et en Chine, le travail de l’organisation est avant tout orienté vers la </w:t>
      </w:r>
      <w:r>
        <w:rPr>
          <w:lang w:val="fr-FR"/>
        </w:rPr>
        <w:t>« f</w:t>
      </w:r>
      <w:r w:rsidRPr="00637392">
        <w:rPr>
          <w:lang w:val="fr-FR"/>
        </w:rPr>
        <w:t>ourniture de pens</w:t>
      </w:r>
      <w:r>
        <w:rPr>
          <w:lang w:val="fr-FR"/>
        </w:rPr>
        <w:t xml:space="preserve">ée »par le biais du plaidoyer et du dialogue et des conseils de politique, par exemple. </w:t>
      </w:r>
      <w:r w:rsidRPr="003C4EEE">
        <w:rPr>
          <w:lang w:val="fr-FR"/>
        </w:rPr>
        <w:t>Par contre, dans une situation de crise humanitaire ou dans un cadre présentant de grands besoins et une faible capacité de répondre, ilest demandé à l’UNFPA de fournir une gamme complè</w:t>
      </w:r>
      <w:r>
        <w:rPr>
          <w:lang w:val="fr-FR"/>
        </w:rPr>
        <w:t>t</w:t>
      </w:r>
      <w:r w:rsidRPr="003C4EEE">
        <w:rPr>
          <w:lang w:val="fr-FR"/>
        </w:rPr>
        <w:t>e d</w:t>
      </w:r>
      <w:r>
        <w:rPr>
          <w:lang w:val="fr-FR"/>
        </w:rPr>
        <w:t>’interventions allant du plaidoyer et du dialogue et conseil de politique à la prestation de servicesen passant par la gestion des connaissances et le renforcement des capacités (particulièrement dans les situations de crise humanitaire).</w:t>
      </w:r>
    </w:p>
    <w:p w:rsidR="001D71AD" w:rsidRPr="0064045D"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CF05C7">
        <w:rPr>
          <w:lang w:val="fr-FR"/>
        </w:rPr>
        <w:t xml:space="preserve">L’UNFPA ne dispose pas actuellement </w:t>
      </w:r>
      <w:r>
        <w:rPr>
          <w:lang w:val="fr-FR"/>
        </w:rPr>
        <w:t>d’une manière systématique de dé</w:t>
      </w:r>
      <w:r w:rsidRPr="00CF05C7">
        <w:rPr>
          <w:lang w:val="fr-FR"/>
        </w:rPr>
        <w:t>crir</w:t>
      </w:r>
      <w:r>
        <w:rPr>
          <w:lang w:val="fr-FR"/>
        </w:rPr>
        <w:t>e</w:t>
      </w:r>
      <w:r w:rsidRPr="00CF05C7">
        <w:rPr>
          <w:lang w:val="fr-FR"/>
        </w:rPr>
        <w:t xml:space="preserve"> ses interventions dans des situations différentes, problème en cours de règlement dans le contexte d</w:t>
      </w:r>
      <w:r>
        <w:rPr>
          <w:lang w:val="fr-FR"/>
        </w:rPr>
        <w:t xml:space="preserve">’un réexamen du modèle de gestionde l’organisation. </w:t>
      </w:r>
      <w:r w:rsidRPr="00ED2C38">
        <w:rPr>
          <w:lang w:val="fr-FR"/>
        </w:rPr>
        <w:t>Cependant, ce problème est aussi important pour le SAR car au niveau le plus élémentai</w:t>
      </w:r>
      <w:r>
        <w:rPr>
          <w:lang w:val="fr-FR"/>
        </w:rPr>
        <w:t>r</w:t>
      </w:r>
      <w:r w:rsidRPr="00ED2C38">
        <w:rPr>
          <w:lang w:val="fr-FR"/>
        </w:rPr>
        <w:t xml:space="preserve">e, </w:t>
      </w:r>
      <w:r>
        <w:rPr>
          <w:lang w:val="fr-FR"/>
        </w:rPr>
        <w:t>les ressources sont attribuées pour exécuter un ensemble d’interventions.</w:t>
      </w:r>
      <w:r w:rsidRPr="00ED2C38">
        <w:rPr>
          <w:lang w:val="fr-FR"/>
        </w:rPr>
        <w:t>L</w:t>
      </w:r>
      <w:r>
        <w:rPr>
          <w:lang w:val="fr-FR"/>
        </w:rPr>
        <w:t>e volume de</w:t>
      </w:r>
      <w:r w:rsidRPr="00ED2C38">
        <w:rPr>
          <w:lang w:val="fr-FR"/>
        </w:rPr>
        <w:t xml:space="preserve"> ressources néces</w:t>
      </w:r>
      <w:r>
        <w:rPr>
          <w:lang w:val="fr-FR"/>
        </w:rPr>
        <w:t>s</w:t>
      </w:r>
      <w:r w:rsidRPr="00ED2C38">
        <w:rPr>
          <w:lang w:val="fr-FR"/>
        </w:rPr>
        <w:t xml:space="preserve">aires pour fournir un ensemble complet d’interventions (comprenant plaidoyer, dialogue et </w:t>
      </w:r>
      <w:r>
        <w:rPr>
          <w:lang w:val="fr-FR"/>
        </w:rPr>
        <w:t xml:space="preserve">conseil </w:t>
      </w:r>
      <w:r w:rsidRPr="00ED2C38">
        <w:rPr>
          <w:lang w:val="fr-FR"/>
        </w:rPr>
        <w:t xml:space="preserve">de politique, gestion des connaissances, renforcement des capacités et </w:t>
      </w:r>
      <w:r>
        <w:rPr>
          <w:lang w:val="fr-FR"/>
        </w:rPr>
        <w:t xml:space="preserve">prestation </w:t>
      </w:r>
      <w:r w:rsidRPr="00ED2C38">
        <w:rPr>
          <w:lang w:val="fr-FR"/>
        </w:rPr>
        <w:t xml:space="preserve">de services) sera de toute </w:t>
      </w:r>
      <w:r>
        <w:rPr>
          <w:lang w:val="fr-FR"/>
        </w:rPr>
        <w:t xml:space="preserve">évidence, différent du volume de ressources nécessaire pour ne fournir que du plaidoyer et  un dialogue et des conseilsde politique. </w:t>
      </w:r>
    </w:p>
    <w:p w:rsidR="001D71AD" w:rsidRPr="0064045D"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437482">
        <w:rPr>
          <w:lang w:val="fr-FR"/>
        </w:rPr>
        <w:t>Corollaire naturel de ce fait : l’attribution de ressources doit être fondée sur les interventions à fournir dans unesituation donnée</w:t>
      </w:r>
      <w:r>
        <w:rPr>
          <w:lang w:val="fr-FR"/>
        </w:rPr>
        <w:t xml:space="preserve">, or actuellement, il n’y a aucun rapport entre le SAR et les types d’interventions à réaliser. </w:t>
      </w:r>
    </w:p>
    <w:p w:rsidR="001D71AD" w:rsidRPr="0064045D" w:rsidRDefault="001D71AD" w:rsidP="000824F9">
      <w:pPr>
        <w:ind w:left="1080" w:right="720"/>
        <w:jc w:val="both"/>
        <w:rPr>
          <w:lang w:val="fr-FR"/>
        </w:rPr>
      </w:pPr>
    </w:p>
    <w:p w:rsidR="001D71AD" w:rsidRPr="000824F9" w:rsidRDefault="001D71AD" w:rsidP="00BB13A1">
      <w:pPr>
        <w:pStyle w:val="Heading3"/>
        <w:numPr>
          <w:ilvl w:val="0"/>
          <w:numId w:val="22"/>
        </w:numPr>
        <w:ind w:left="1440"/>
      </w:pPr>
      <w:r>
        <w:rPr>
          <w:lang w:val="fr-FR"/>
        </w:rPr>
        <w:t>Le s</w:t>
      </w:r>
      <w:r w:rsidRPr="000B29E2">
        <w:rPr>
          <w:lang w:val="fr-FR"/>
        </w:rPr>
        <w:t>ystème actuel n’optimis</w:t>
      </w:r>
      <w:r>
        <w:rPr>
          <w:lang w:val="fr-FR"/>
        </w:rPr>
        <w:t>e</w:t>
      </w:r>
      <w:r w:rsidRPr="000B29E2">
        <w:rPr>
          <w:lang w:val="fr-FR"/>
        </w:rPr>
        <w:t xml:space="preserve"> pas l</w:t>
      </w:r>
      <w:r>
        <w:rPr>
          <w:lang w:val="fr-FR"/>
        </w:rPr>
        <w:t>’impact</w:t>
      </w:r>
    </w:p>
    <w:p w:rsidR="001D71AD" w:rsidRPr="000B29E2" w:rsidRDefault="001D71AD" w:rsidP="000824F9">
      <w:pPr>
        <w:ind w:left="1080" w:right="720"/>
        <w:jc w:val="both"/>
        <w:rPr>
          <w:lang w:val="fr-FR"/>
        </w:rPr>
      </w:pPr>
    </w:p>
    <w:p w:rsidR="001D71AD" w:rsidRPr="0064045D" w:rsidRDefault="001D71AD" w:rsidP="00BB13A1">
      <w:pPr>
        <w:numPr>
          <w:ilvl w:val="0"/>
          <w:numId w:val="4"/>
        </w:numPr>
        <w:ind w:left="1080" w:right="720" w:firstLine="0"/>
        <w:jc w:val="both"/>
        <w:rPr>
          <w:lang w:val="fr-FR"/>
        </w:rPr>
      </w:pPr>
      <w:r w:rsidRPr="000B29E2">
        <w:rPr>
          <w:lang w:val="fr-FR"/>
        </w:rPr>
        <w:t xml:space="preserve">L’une des fonctions essentielles de tout système qui attribue des ressources est de les affecter où elles ont le plus de chances de produire </w:t>
      </w:r>
      <w:r>
        <w:rPr>
          <w:lang w:val="fr-FR"/>
        </w:rPr>
        <w:t>un impact.</w:t>
      </w:r>
      <w:r w:rsidRPr="00521543">
        <w:rPr>
          <w:lang w:val="fr-FR"/>
        </w:rPr>
        <w:t>Le système actuel de l’UNFPA</w:t>
      </w:r>
      <w:r>
        <w:rPr>
          <w:lang w:val="fr-FR"/>
        </w:rPr>
        <w:t xml:space="preserve">tient </w:t>
      </w:r>
      <w:r w:rsidRPr="00521543">
        <w:rPr>
          <w:lang w:val="fr-FR"/>
        </w:rPr>
        <w:t xml:space="preserve">en partie </w:t>
      </w:r>
      <w:r>
        <w:rPr>
          <w:lang w:val="fr-FR"/>
        </w:rPr>
        <w:t xml:space="preserve">compte de </w:t>
      </w:r>
      <w:r w:rsidRPr="00521543">
        <w:rPr>
          <w:lang w:val="fr-FR"/>
        </w:rPr>
        <w:t>cela en se concentrant sur le besoin dans la sélection des indicateurs et en classant les pays par cat</w:t>
      </w:r>
      <w:r>
        <w:rPr>
          <w:lang w:val="fr-FR"/>
        </w:rPr>
        <w:t xml:space="preserve">égories mais il ne dispose pas d’un mécanisme plus structuré pour optimiser l’impact. </w:t>
      </w:r>
      <w:r w:rsidRPr="00521543">
        <w:rPr>
          <w:lang w:val="fr-FR"/>
        </w:rPr>
        <w:t>Par exemple, les ressources de l’UNFPA ont plus de chances d’améliorer la vie des femmes, des adole</w:t>
      </w:r>
      <w:r>
        <w:rPr>
          <w:lang w:val="fr-FR"/>
        </w:rPr>
        <w:t>s</w:t>
      </w:r>
      <w:r w:rsidRPr="00521543">
        <w:rPr>
          <w:lang w:val="fr-FR"/>
        </w:rPr>
        <w:t>cents et des jeunes si elles sont attribuées à travers des bureaux qui ont de solides antécéd</w:t>
      </w:r>
      <w:r>
        <w:rPr>
          <w:lang w:val="fr-FR"/>
        </w:rPr>
        <w:t>e</w:t>
      </w:r>
      <w:r w:rsidRPr="00521543">
        <w:rPr>
          <w:lang w:val="fr-FR"/>
        </w:rPr>
        <w:t>nts de programmation r</w:t>
      </w:r>
      <w:r>
        <w:rPr>
          <w:lang w:val="fr-FR"/>
        </w:rPr>
        <w:t xml:space="preserve">éussie, mais il n’y a actuellement aucun moyen systématique d’évaluer cela et de récompenser la bonne gestion. </w:t>
      </w:r>
      <w:r w:rsidRPr="0018582C">
        <w:rPr>
          <w:lang w:val="fr-FR"/>
        </w:rPr>
        <w:t xml:space="preserve">En conséquence, l’UNFPA n’octroie pas </w:t>
      </w:r>
      <w:r>
        <w:rPr>
          <w:lang w:val="fr-FR"/>
        </w:rPr>
        <w:t xml:space="preserve">de </w:t>
      </w:r>
      <w:r w:rsidRPr="0018582C">
        <w:rPr>
          <w:lang w:val="fr-FR"/>
        </w:rPr>
        <w:t xml:space="preserve">ressources </w:t>
      </w:r>
      <w:r>
        <w:rPr>
          <w:lang w:val="fr-FR"/>
        </w:rPr>
        <w:t xml:space="preserve">plus étoffées </w:t>
      </w:r>
      <w:r w:rsidRPr="0018582C">
        <w:rPr>
          <w:lang w:val="fr-FR"/>
        </w:rPr>
        <w:t xml:space="preserve">aux pays capables d’en faire le meilleur usage. </w:t>
      </w:r>
    </w:p>
    <w:p w:rsidR="001D71AD" w:rsidRPr="0064045D" w:rsidRDefault="001D71AD" w:rsidP="000824F9">
      <w:pPr>
        <w:ind w:left="1080" w:right="720"/>
        <w:jc w:val="both"/>
        <w:rPr>
          <w:lang w:val="fr-FR"/>
        </w:rPr>
      </w:pPr>
    </w:p>
    <w:p w:rsidR="001D71AD" w:rsidRPr="000824F9" w:rsidRDefault="001D71AD" w:rsidP="00BB13A1">
      <w:pPr>
        <w:pStyle w:val="Heading3"/>
        <w:numPr>
          <w:ilvl w:val="0"/>
          <w:numId w:val="22"/>
        </w:numPr>
        <w:ind w:left="1440"/>
      </w:pPr>
      <w:r>
        <w:rPr>
          <w:lang w:val="fr-FR"/>
        </w:rPr>
        <w:t>Le s</w:t>
      </w:r>
      <w:r w:rsidRPr="000557AE">
        <w:rPr>
          <w:lang w:val="fr-FR"/>
        </w:rPr>
        <w:t xml:space="preserve">ystème actuel </w:t>
      </w:r>
      <w:r>
        <w:rPr>
          <w:lang w:val="fr-FR"/>
        </w:rPr>
        <w:t>est m</w:t>
      </w:r>
      <w:r w:rsidRPr="000557AE">
        <w:rPr>
          <w:lang w:val="fr-FR"/>
        </w:rPr>
        <w:t xml:space="preserve">al </w:t>
      </w:r>
      <w:r>
        <w:rPr>
          <w:lang w:val="fr-FR"/>
        </w:rPr>
        <w:t xml:space="preserve">adapté pour répondre </w:t>
      </w:r>
      <w:r w:rsidRPr="000557AE">
        <w:rPr>
          <w:lang w:val="fr-FR"/>
        </w:rPr>
        <w:t>aux crises humanitaires et autres menaces et opportunit</w:t>
      </w:r>
      <w:r>
        <w:rPr>
          <w:lang w:val="fr-FR"/>
        </w:rPr>
        <w:t xml:space="preserve">és émergentes </w:t>
      </w:r>
    </w:p>
    <w:p w:rsidR="001D71AD" w:rsidRPr="002B6FE2" w:rsidRDefault="001D71AD" w:rsidP="000824F9">
      <w:pPr>
        <w:ind w:left="1080" w:right="720"/>
        <w:jc w:val="both"/>
      </w:pPr>
    </w:p>
    <w:p w:rsidR="001D71AD" w:rsidRPr="006C774F" w:rsidRDefault="001D71AD" w:rsidP="00BB13A1">
      <w:pPr>
        <w:numPr>
          <w:ilvl w:val="0"/>
          <w:numId w:val="4"/>
        </w:numPr>
        <w:ind w:left="1080" w:right="720" w:firstLine="0"/>
        <w:jc w:val="both"/>
        <w:rPr>
          <w:lang w:val="fr-FR"/>
        </w:rPr>
      </w:pPr>
      <w:r w:rsidRPr="002145BE">
        <w:rPr>
          <w:lang w:val="fr-FR"/>
        </w:rPr>
        <w:t>Le monde dans lequel travaille l’UNFPA est extrêmement imprévisible.Un séisme ou un ouragan peut survenir dans un lieu précédemment calme tandis qu’un conflit armé peut éclater soudainement dans un pays jugé stable comme ce fut r</w:t>
      </w:r>
      <w:r>
        <w:rPr>
          <w:lang w:val="fr-FR"/>
        </w:rPr>
        <w:t>écemment le cas au Mali.</w:t>
      </w:r>
      <w:r w:rsidRPr="002145BE">
        <w:rPr>
          <w:lang w:val="fr-FR"/>
        </w:rPr>
        <w:t>Des opportunités peuvent aussi se présenter très rapidement par suite d</w:t>
      </w:r>
      <w:r>
        <w:rPr>
          <w:lang w:val="fr-FR"/>
        </w:rPr>
        <w:t xml:space="preserve">’un changement politique ou d’une percée technologique. </w:t>
      </w:r>
    </w:p>
    <w:p w:rsidR="001D71AD" w:rsidRPr="006C774F" w:rsidRDefault="001D71AD" w:rsidP="000824F9">
      <w:pPr>
        <w:ind w:left="1080" w:right="720"/>
        <w:jc w:val="both"/>
        <w:rPr>
          <w:lang w:val="fr-FR"/>
        </w:rPr>
      </w:pPr>
    </w:p>
    <w:p w:rsidR="001D71AD" w:rsidRPr="00487486" w:rsidRDefault="001D71AD" w:rsidP="00BB13A1">
      <w:pPr>
        <w:numPr>
          <w:ilvl w:val="0"/>
          <w:numId w:val="4"/>
        </w:numPr>
        <w:ind w:left="1080" w:right="720" w:firstLine="0"/>
        <w:jc w:val="both"/>
        <w:rPr>
          <w:lang w:val="fr-FR"/>
        </w:rPr>
      </w:pPr>
      <w:r w:rsidRPr="006971E0">
        <w:rPr>
          <w:lang w:val="fr-FR"/>
        </w:rPr>
        <w:t>Lorsqu’une crise humanitaire ou une autre menace se produit ou lorsqu’une opportunité apparaît soudainement, l</w:t>
      </w:r>
      <w:r>
        <w:rPr>
          <w:lang w:val="fr-FR"/>
        </w:rPr>
        <w:t>’</w:t>
      </w:r>
      <w:r w:rsidRPr="006971E0">
        <w:rPr>
          <w:lang w:val="fr-FR"/>
        </w:rPr>
        <w:t xml:space="preserve">UNFPA </w:t>
      </w:r>
      <w:r>
        <w:rPr>
          <w:lang w:val="fr-FR"/>
        </w:rPr>
        <w:t xml:space="preserve">a besoin de pouvoir réagir rapidement. </w:t>
      </w:r>
      <w:r w:rsidRPr="00487486">
        <w:rPr>
          <w:lang w:val="fr-FR"/>
        </w:rPr>
        <w:t>Il existe en ce moment de petites réserves de ressources utilisables pour les crises humanitaires ou de nouveaux projets entrepris par l’organisation mais elles sont considérablement plus petites (en termes absolus et relatifs) que les sommes d</w:t>
      </w:r>
      <w:r>
        <w:rPr>
          <w:lang w:val="fr-FR"/>
        </w:rPr>
        <w:t xml:space="preserve">’argent que réservent le PNUD et l’UNICEF avant de partager le reste à travers l’équivalent du SAR. </w:t>
      </w:r>
    </w:p>
    <w:p w:rsidR="001D71AD" w:rsidRPr="00487486" w:rsidRDefault="001D71AD" w:rsidP="000824F9">
      <w:pPr>
        <w:ind w:left="1080" w:right="720"/>
        <w:jc w:val="both"/>
        <w:rPr>
          <w:lang w:val="fr-FR"/>
        </w:rPr>
      </w:pPr>
    </w:p>
    <w:p w:rsidR="001D71AD" w:rsidRDefault="001D71AD" w:rsidP="00BB13A1">
      <w:pPr>
        <w:numPr>
          <w:ilvl w:val="0"/>
          <w:numId w:val="4"/>
        </w:numPr>
        <w:ind w:left="1080" w:right="720" w:firstLine="0"/>
        <w:jc w:val="both"/>
        <w:rPr>
          <w:lang w:val="fr-FR"/>
        </w:rPr>
      </w:pPr>
      <w:r w:rsidRPr="00487486">
        <w:rPr>
          <w:lang w:val="fr-FR"/>
        </w:rPr>
        <w:t xml:space="preserve">Conséquence: l’UNPPA </w:t>
      </w:r>
      <w:r>
        <w:rPr>
          <w:lang w:val="fr-FR"/>
        </w:rPr>
        <w:t>dé</w:t>
      </w:r>
      <w:r w:rsidRPr="00487486">
        <w:rPr>
          <w:lang w:val="fr-FR"/>
        </w:rPr>
        <w:t>pend davantage d’autres ressources moins prévisibles dans ces situations.</w:t>
      </w:r>
      <w:r w:rsidRPr="003C59E8">
        <w:rPr>
          <w:lang w:val="fr-FR"/>
        </w:rPr>
        <w:t xml:space="preserve"> Ainsi, il est plus difficile de répondre aux crises humanitaires et l’organisation dispose de possibilit</w:t>
      </w:r>
      <w:r>
        <w:rPr>
          <w:lang w:val="fr-FR"/>
        </w:rPr>
        <w:t xml:space="preserve">és limitées d’octroyer des ressources aux solutions novatrices aux problèmes émergents. </w:t>
      </w:r>
    </w:p>
    <w:p w:rsidR="001D71AD" w:rsidRDefault="001D71AD" w:rsidP="005F3712">
      <w:pPr>
        <w:pStyle w:val="ListParagraph"/>
        <w:rPr>
          <w:lang w:val="fr-FR"/>
        </w:rPr>
      </w:pPr>
    </w:p>
    <w:p w:rsidR="001D71AD" w:rsidRDefault="001D71AD" w:rsidP="00BB13A1">
      <w:pPr>
        <w:pStyle w:val="Heading3"/>
        <w:numPr>
          <w:ilvl w:val="0"/>
          <w:numId w:val="22"/>
        </w:numPr>
        <w:ind w:left="1440" w:right="720"/>
        <w:jc w:val="both"/>
        <w:rPr>
          <w:lang w:val="fr-FR"/>
        </w:rPr>
      </w:pPr>
      <w:r w:rsidRPr="005F3712">
        <w:rPr>
          <w:lang w:val="fr-FR"/>
        </w:rPr>
        <w:t xml:space="preserve">Conserver le système actuel en se contentant d’actualiser les données des indicateurs conduirait à une situation difficile. </w:t>
      </w:r>
    </w:p>
    <w:p w:rsidR="001D71AD" w:rsidRPr="005F3712" w:rsidRDefault="001D71AD" w:rsidP="005F3712">
      <w:pPr>
        <w:rPr>
          <w:lang w:val="fr-FR"/>
        </w:rPr>
      </w:pPr>
    </w:p>
    <w:p w:rsidR="001D71AD" w:rsidRPr="00624418" w:rsidRDefault="001D71AD" w:rsidP="00BB13A1">
      <w:pPr>
        <w:numPr>
          <w:ilvl w:val="0"/>
          <w:numId w:val="4"/>
        </w:numPr>
        <w:ind w:left="1080" w:right="720" w:firstLine="0"/>
        <w:jc w:val="both"/>
        <w:rPr>
          <w:lang w:val="fr-FR"/>
        </w:rPr>
      </w:pPr>
      <w:r w:rsidRPr="00624418">
        <w:rPr>
          <w:lang w:val="fr-FR"/>
        </w:rPr>
        <w:t>Il serait possible, malgré les difficultés signalées ci-dessus, de laisser le SAR inchangé et de simplement actualiser les groupes de pays en se fondant sur les changements de données associées aux huit indicateurs.Il est cependant important de comprendre que cette approche conduirait aussi à des changements importants car 22 pays chang</w:t>
      </w:r>
      <w:r>
        <w:rPr>
          <w:lang w:val="fr-FR"/>
        </w:rPr>
        <w:t>eraient</w:t>
      </w:r>
      <w:r w:rsidRPr="00624418">
        <w:rPr>
          <w:lang w:val="fr-FR"/>
        </w:rPr>
        <w:t xml:space="preserve"> de catégorie d’après les plus récentes données, comme suit : </w:t>
      </w:r>
    </w:p>
    <w:p w:rsidR="001D71AD" w:rsidRPr="00DE1899" w:rsidRDefault="001D71AD" w:rsidP="00BB13A1">
      <w:pPr>
        <w:numPr>
          <w:ilvl w:val="0"/>
          <w:numId w:val="35"/>
        </w:numPr>
        <w:ind w:right="720"/>
        <w:jc w:val="both"/>
        <w:rPr>
          <w:lang w:val="fr-FR"/>
        </w:rPr>
      </w:pPr>
      <w:r w:rsidRPr="00DE1899">
        <w:rPr>
          <w:lang w:val="fr-FR"/>
        </w:rPr>
        <w:t xml:space="preserve">Du Groupe </w:t>
      </w:r>
      <w:r>
        <w:rPr>
          <w:lang w:val="fr-FR"/>
        </w:rPr>
        <w:t>a</w:t>
      </w:r>
      <w:r w:rsidRPr="00DE1899">
        <w:rPr>
          <w:lang w:val="fr-FR"/>
        </w:rPr>
        <w:t>u Groupe B: 5 pays;</w:t>
      </w:r>
    </w:p>
    <w:p w:rsidR="001D71AD" w:rsidRPr="00DE1899" w:rsidRDefault="001D71AD" w:rsidP="00BB13A1">
      <w:pPr>
        <w:numPr>
          <w:ilvl w:val="0"/>
          <w:numId w:val="35"/>
        </w:numPr>
        <w:ind w:right="720"/>
        <w:jc w:val="both"/>
        <w:rPr>
          <w:lang w:val="fr-FR"/>
        </w:rPr>
      </w:pPr>
      <w:r>
        <w:rPr>
          <w:lang w:val="fr-FR"/>
        </w:rPr>
        <w:t xml:space="preserve">Du </w:t>
      </w:r>
      <w:r w:rsidRPr="00DE1899">
        <w:rPr>
          <w:lang w:val="fr-FR"/>
        </w:rPr>
        <w:t>Groupe B au Groupe C: 14 pays ;</w:t>
      </w:r>
    </w:p>
    <w:p w:rsidR="001D71AD" w:rsidRPr="00DE1899" w:rsidRDefault="001D71AD" w:rsidP="00BB13A1">
      <w:pPr>
        <w:numPr>
          <w:ilvl w:val="0"/>
          <w:numId w:val="35"/>
        </w:numPr>
        <w:ind w:right="720"/>
        <w:jc w:val="both"/>
        <w:rPr>
          <w:lang w:val="fr-FR"/>
        </w:rPr>
      </w:pPr>
      <w:r w:rsidRPr="00DE1899">
        <w:rPr>
          <w:lang w:val="fr-FR"/>
        </w:rPr>
        <w:t>Du groupe C au Groupe B: 3 pays.</w:t>
      </w:r>
    </w:p>
    <w:p w:rsidR="001D71AD" w:rsidRPr="00DE1899" w:rsidRDefault="001D71AD" w:rsidP="00624418">
      <w:pPr>
        <w:ind w:left="1080" w:right="720"/>
        <w:jc w:val="both"/>
        <w:rPr>
          <w:lang w:val="fr-FR"/>
        </w:rPr>
      </w:pPr>
    </w:p>
    <w:p w:rsidR="001D71AD" w:rsidRPr="005F3712" w:rsidRDefault="001D71AD" w:rsidP="00BB13A1">
      <w:pPr>
        <w:numPr>
          <w:ilvl w:val="0"/>
          <w:numId w:val="4"/>
        </w:numPr>
        <w:ind w:left="1080" w:right="720" w:firstLine="0"/>
        <w:jc w:val="both"/>
        <w:rPr>
          <w:lang w:val="fr-FR"/>
        </w:rPr>
      </w:pPr>
      <w:r w:rsidRPr="005F3712">
        <w:rPr>
          <w:lang w:val="fr-FR"/>
        </w:rPr>
        <w:t>L</w:t>
      </w:r>
      <w:r>
        <w:rPr>
          <w:lang w:val="fr-FR"/>
        </w:rPr>
        <w:t xml:space="preserve">a modification du </w:t>
      </w:r>
      <w:r w:rsidRPr="005F3712">
        <w:rPr>
          <w:lang w:val="fr-FR"/>
        </w:rPr>
        <w:t xml:space="preserve">nombre de pays et de parts de population qui résulteraient de ces changements (en admettant qu’aucun autre changement ne soit effectué au SAR) figurent au tableau 4. </w:t>
      </w:r>
    </w:p>
    <w:p w:rsidR="001D71AD" w:rsidRPr="005F3712" w:rsidRDefault="001D71AD" w:rsidP="00445095">
      <w:pPr>
        <w:ind w:left="1080" w:right="720"/>
        <w:jc w:val="both"/>
        <w:rPr>
          <w:lang w:val="fr-FR"/>
        </w:rPr>
      </w:pPr>
    </w:p>
    <w:p w:rsidR="001D71AD" w:rsidRPr="00336648" w:rsidRDefault="001D71AD" w:rsidP="00445095">
      <w:pPr>
        <w:ind w:left="1080" w:right="720"/>
        <w:jc w:val="both"/>
        <w:rPr>
          <w:b/>
          <w:lang w:val="fr-FR"/>
        </w:rPr>
      </w:pPr>
      <w:r w:rsidRPr="00336648">
        <w:rPr>
          <w:b/>
          <w:lang w:val="fr-FR"/>
        </w:rPr>
        <w:t>Tableau 4: Changements aux groupes de pays effectués d’après l’évolution des donn</w:t>
      </w:r>
      <w:r>
        <w:rPr>
          <w:b/>
          <w:lang w:val="fr-FR"/>
        </w:rPr>
        <w:t xml:space="preserve">ées.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1642"/>
        <w:gridCol w:w="1643"/>
        <w:gridCol w:w="1642"/>
        <w:gridCol w:w="1643"/>
      </w:tblGrid>
      <w:tr w:rsidR="001D71AD" w:rsidRPr="00DF6B08" w:rsidTr="00DF6B08">
        <w:tc>
          <w:tcPr>
            <w:tcW w:w="900" w:type="dxa"/>
          </w:tcPr>
          <w:p w:rsidR="001D71AD" w:rsidRPr="00336648" w:rsidRDefault="001D71AD" w:rsidP="00DF6B08">
            <w:pPr>
              <w:ind w:right="-11"/>
              <w:jc w:val="both"/>
              <w:rPr>
                <w:b/>
                <w:sz w:val="18"/>
                <w:lang w:val="fr-FR"/>
              </w:rPr>
            </w:pPr>
          </w:p>
        </w:tc>
        <w:tc>
          <w:tcPr>
            <w:tcW w:w="3285" w:type="dxa"/>
            <w:gridSpan w:val="2"/>
          </w:tcPr>
          <w:p w:rsidR="001D71AD" w:rsidRPr="00DF6B08" w:rsidRDefault="001D71AD" w:rsidP="00DF6B08">
            <w:pPr>
              <w:jc w:val="both"/>
              <w:rPr>
                <w:b/>
                <w:sz w:val="18"/>
                <w:lang w:val="en-US"/>
              </w:rPr>
            </w:pPr>
            <w:r w:rsidRPr="00DF6B08">
              <w:rPr>
                <w:b/>
                <w:sz w:val="18"/>
                <w:lang w:val="en-US"/>
              </w:rPr>
              <w:t>2008</w:t>
            </w:r>
          </w:p>
        </w:tc>
        <w:tc>
          <w:tcPr>
            <w:tcW w:w="3285" w:type="dxa"/>
            <w:gridSpan w:val="2"/>
          </w:tcPr>
          <w:p w:rsidR="001D71AD" w:rsidRPr="00DF6B08" w:rsidRDefault="001D71AD" w:rsidP="00DF6B08">
            <w:pPr>
              <w:ind w:right="-18"/>
              <w:jc w:val="both"/>
              <w:rPr>
                <w:b/>
                <w:sz w:val="18"/>
                <w:lang w:val="en-US"/>
              </w:rPr>
            </w:pPr>
            <w:r w:rsidRPr="00DF6B08">
              <w:rPr>
                <w:b/>
                <w:sz w:val="18"/>
                <w:lang w:val="en-US"/>
              </w:rPr>
              <w:t>2013</w:t>
            </w:r>
          </w:p>
        </w:tc>
      </w:tr>
      <w:tr w:rsidR="001D71AD" w:rsidRPr="00336648" w:rsidTr="00DF6B08">
        <w:trPr>
          <w:trHeight w:val="377"/>
        </w:trPr>
        <w:tc>
          <w:tcPr>
            <w:tcW w:w="900" w:type="dxa"/>
          </w:tcPr>
          <w:p w:rsidR="001D71AD" w:rsidRPr="003A5D85" w:rsidRDefault="001D71AD" w:rsidP="00A10872">
            <w:pPr>
              <w:ind w:right="-11"/>
              <w:rPr>
                <w:b/>
                <w:sz w:val="18"/>
                <w:lang w:val="fr-CA"/>
              </w:rPr>
            </w:pPr>
            <w:r w:rsidRPr="003A5D85">
              <w:rPr>
                <w:b/>
                <w:bCs/>
                <w:sz w:val="18"/>
                <w:lang w:val="fr-CA"/>
              </w:rPr>
              <w:t>Groupe</w:t>
            </w:r>
          </w:p>
        </w:tc>
        <w:tc>
          <w:tcPr>
            <w:tcW w:w="1642" w:type="dxa"/>
          </w:tcPr>
          <w:p w:rsidR="001D71AD" w:rsidRPr="003A5D85" w:rsidRDefault="001D71AD" w:rsidP="00336648">
            <w:pPr>
              <w:rPr>
                <w:b/>
                <w:sz w:val="18"/>
                <w:lang w:val="fr-CA"/>
              </w:rPr>
            </w:pPr>
            <w:r w:rsidRPr="003A5D85">
              <w:rPr>
                <w:b/>
                <w:bCs/>
                <w:sz w:val="18"/>
                <w:lang w:val="fr-CA"/>
              </w:rPr>
              <w:t>Nombre depays</w:t>
            </w:r>
          </w:p>
        </w:tc>
        <w:tc>
          <w:tcPr>
            <w:tcW w:w="1643" w:type="dxa"/>
          </w:tcPr>
          <w:p w:rsidR="001D71AD" w:rsidRPr="003A5D85" w:rsidRDefault="001D71AD" w:rsidP="00336648">
            <w:pPr>
              <w:rPr>
                <w:b/>
                <w:sz w:val="18"/>
                <w:lang w:val="fr-CA"/>
              </w:rPr>
            </w:pPr>
            <w:r w:rsidRPr="003A5D85">
              <w:rPr>
                <w:b/>
                <w:bCs/>
                <w:sz w:val="18"/>
                <w:lang w:val="fr-CA"/>
              </w:rPr>
              <w:t xml:space="preserve">Pourcentage de la population </w:t>
            </w:r>
          </w:p>
        </w:tc>
        <w:tc>
          <w:tcPr>
            <w:tcW w:w="1642" w:type="dxa"/>
          </w:tcPr>
          <w:p w:rsidR="001D71AD" w:rsidRPr="003A5D85" w:rsidRDefault="001D71AD" w:rsidP="00336648">
            <w:pPr>
              <w:ind w:left="47" w:right="33"/>
              <w:rPr>
                <w:b/>
                <w:sz w:val="18"/>
                <w:lang w:val="fr-CA"/>
              </w:rPr>
            </w:pPr>
            <w:r w:rsidRPr="003A5D85">
              <w:rPr>
                <w:b/>
                <w:bCs/>
                <w:sz w:val="18"/>
                <w:lang w:val="fr-CA"/>
              </w:rPr>
              <w:t>Nombre de pays</w:t>
            </w:r>
          </w:p>
        </w:tc>
        <w:tc>
          <w:tcPr>
            <w:tcW w:w="1643" w:type="dxa"/>
          </w:tcPr>
          <w:p w:rsidR="001D71AD" w:rsidRPr="003A5D85" w:rsidRDefault="001D71AD" w:rsidP="00336648">
            <w:pPr>
              <w:ind w:left="21"/>
              <w:rPr>
                <w:b/>
                <w:sz w:val="18"/>
                <w:lang w:val="fr-CA"/>
              </w:rPr>
            </w:pPr>
            <w:r w:rsidRPr="003A5D85">
              <w:rPr>
                <w:b/>
                <w:bCs/>
                <w:sz w:val="18"/>
                <w:lang w:val="fr-CA"/>
              </w:rPr>
              <w:t xml:space="preserve">Pourcentage de la population </w:t>
            </w:r>
          </w:p>
        </w:tc>
      </w:tr>
      <w:tr w:rsidR="001D71AD" w:rsidRPr="00DF6B08" w:rsidTr="00DF6B08">
        <w:trPr>
          <w:trHeight w:val="143"/>
        </w:trPr>
        <w:tc>
          <w:tcPr>
            <w:tcW w:w="900" w:type="dxa"/>
          </w:tcPr>
          <w:p w:rsidR="001D71AD" w:rsidRPr="003A5D85" w:rsidRDefault="001D71AD" w:rsidP="00DF6B08">
            <w:pPr>
              <w:ind w:right="-11"/>
              <w:jc w:val="both"/>
              <w:rPr>
                <w:b/>
                <w:sz w:val="18"/>
                <w:lang w:val="fr-CA"/>
              </w:rPr>
            </w:pPr>
            <w:r w:rsidRPr="003A5D85">
              <w:rPr>
                <w:b/>
                <w:bCs/>
                <w:sz w:val="18"/>
                <w:lang w:val="fr-CA"/>
              </w:rPr>
              <w:t>A</w:t>
            </w:r>
          </w:p>
        </w:tc>
        <w:tc>
          <w:tcPr>
            <w:tcW w:w="1642" w:type="dxa"/>
          </w:tcPr>
          <w:p w:rsidR="001D71AD" w:rsidRPr="003A5D85" w:rsidRDefault="001D71AD" w:rsidP="00DF6B08">
            <w:pPr>
              <w:jc w:val="both"/>
              <w:rPr>
                <w:sz w:val="18"/>
                <w:lang w:val="fr-CA"/>
              </w:rPr>
            </w:pPr>
            <w:r w:rsidRPr="003A5D85">
              <w:rPr>
                <w:sz w:val="18"/>
                <w:lang w:val="fr-CA"/>
              </w:rPr>
              <w:t>66</w:t>
            </w:r>
          </w:p>
        </w:tc>
        <w:tc>
          <w:tcPr>
            <w:tcW w:w="1643" w:type="dxa"/>
          </w:tcPr>
          <w:p w:rsidR="001D71AD" w:rsidRPr="003A5D85" w:rsidRDefault="001D71AD" w:rsidP="00DF6B08">
            <w:pPr>
              <w:jc w:val="both"/>
              <w:rPr>
                <w:sz w:val="18"/>
                <w:lang w:val="fr-CA"/>
              </w:rPr>
            </w:pPr>
            <w:r w:rsidRPr="003A5D85">
              <w:rPr>
                <w:sz w:val="18"/>
                <w:lang w:val="fr-CA"/>
              </w:rPr>
              <w:t>43%</w:t>
            </w:r>
          </w:p>
        </w:tc>
        <w:tc>
          <w:tcPr>
            <w:tcW w:w="1642" w:type="dxa"/>
          </w:tcPr>
          <w:p w:rsidR="001D71AD" w:rsidRPr="003A5D85" w:rsidRDefault="001D71AD" w:rsidP="00DF6B08">
            <w:pPr>
              <w:ind w:left="47" w:right="33"/>
              <w:jc w:val="both"/>
              <w:rPr>
                <w:sz w:val="18"/>
                <w:lang w:val="fr-CA"/>
              </w:rPr>
            </w:pPr>
            <w:r w:rsidRPr="003A5D85">
              <w:rPr>
                <w:sz w:val="18"/>
                <w:lang w:val="fr-CA"/>
              </w:rPr>
              <w:t>62</w:t>
            </w:r>
          </w:p>
        </w:tc>
        <w:tc>
          <w:tcPr>
            <w:tcW w:w="1643" w:type="dxa"/>
          </w:tcPr>
          <w:p w:rsidR="001D71AD" w:rsidRPr="003A5D85" w:rsidRDefault="001D71AD" w:rsidP="00DF6B08">
            <w:pPr>
              <w:ind w:left="21"/>
              <w:jc w:val="both"/>
              <w:rPr>
                <w:sz w:val="18"/>
                <w:lang w:val="fr-CA"/>
              </w:rPr>
            </w:pPr>
            <w:r w:rsidRPr="003A5D85">
              <w:rPr>
                <w:sz w:val="18"/>
                <w:lang w:val="fr-CA"/>
              </w:rPr>
              <w:t>43%</w:t>
            </w:r>
          </w:p>
        </w:tc>
      </w:tr>
      <w:tr w:rsidR="001D71AD" w:rsidRPr="00DF6B08" w:rsidTr="00DF6B08">
        <w:trPr>
          <w:trHeight w:val="197"/>
        </w:trPr>
        <w:tc>
          <w:tcPr>
            <w:tcW w:w="900" w:type="dxa"/>
          </w:tcPr>
          <w:p w:rsidR="001D71AD" w:rsidRPr="003A5D85" w:rsidRDefault="001D71AD" w:rsidP="00DF6B08">
            <w:pPr>
              <w:ind w:right="-11"/>
              <w:jc w:val="both"/>
              <w:rPr>
                <w:b/>
                <w:sz w:val="18"/>
                <w:lang w:val="fr-CA"/>
              </w:rPr>
            </w:pPr>
            <w:r w:rsidRPr="003A5D85">
              <w:rPr>
                <w:b/>
                <w:bCs/>
                <w:sz w:val="18"/>
                <w:lang w:val="fr-CA"/>
              </w:rPr>
              <w:t>B</w:t>
            </w:r>
          </w:p>
        </w:tc>
        <w:tc>
          <w:tcPr>
            <w:tcW w:w="1642" w:type="dxa"/>
          </w:tcPr>
          <w:p w:rsidR="001D71AD" w:rsidRPr="003A5D85" w:rsidRDefault="001D71AD" w:rsidP="00DF6B08">
            <w:pPr>
              <w:jc w:val="both"/>
              <w:rPr>
                <w:sz w:val="18"/>
                <w:lang w:val="fr-CA"/>
              </w:rPr>
            </w:pPr>
            <w:r w:rsidRPr="003A5D85">
              <w:rPr>
                <w:sz w:val="18"/>
                <w:lang w:val="fr-CA"/>
              </w:rPr>
              <w:t>41</w:t>
            </w:r>
          </w:p>
        </w:tc>
        <w:tc>
          <w:tcPr>
            <w:tcW w:w="1643" w:type="dxa"/>
          </w:tcPr>
          <w:p w:rsidR="001D71AD" w:rsidRPr="003A5D85" w:rsidRDefault="001D71AD" w:rsidP="00DF6B08">
            <w:pPr>
              <w:jc w:val="both"/>
              <w:rPr>
                <w:sz w:val="18"/>
                <w:lang w:val="fr-CA"/>
              </w:rPr>
            </w:pPr>
            <w:r w:rsidRPr="003A5D85">
              <w:rPr>
                <w:bCs/>
                <w:iCs/>
                <w:sz w:val="18"/>
                <w:lang w:val="fr-CA"/>
              </w:rPr>
              <w:t>22%</w:t>
            </w:r>
          </w:p>
        </w:tc>
        <w:tc>
          <w:tcPr>
            <w:tcW w:w="1642" w:type="dxa"/>
          </w:tcPr>
          <w:p w:rsidR="001D71AD" w:rsidRPr="003A5D85" w:rsidRDefault="001D71AD" w:rsidP="00DF6B08">
            <w:pPr>
              <w:ind w:left="47" w:right="33"/>
              <w:jc w:val="both"/>
              <w:rPr>
                <w:sz w:val="18"/>
                <w:lang w:val="fr-CA"/>
              </w:rPr>
            </w:pPr>
            <w:r w:rsidRPr="003A5D85">
              <w:rPr>
                <w:sz w:val="18"/>
                <w:lang w:val="fr-CA"/>
              </w:rPr>
              <w:t>35</w:t>
            </w:r>
          </w:p>
        </w:tc>
        <w:tc>
          <w:tcPr>
            <w:tcW w:w="1643" w:type="dxa"/>
          </w:tcPr>
          <w:p w:rsidR="001D71AD" w:rsidRPr="003A5D85" w:rsidRDefault="001D71AD" w:rsidP="00DF6B08">
            <w:pPr>
              <w:ind w:left="21"/>
              <w:jc w:val="both"/>
              <w:rPr>
                <w:sz w:val="18"/>
                <w:lang w:val="fr-CA"/>
              </w:rPr>
            </w:pPr>
            <w:r w:rsidRPr="003A5D85">
              <w:rPr>
                <w:bCs/>
                <w:iCs/>
                <w:sz w:val="18"/>
                <w:lang w:val="fr-CA"/>
              </w:rPr>
              <w:t>16%</w:t>
            </w:r>
          </w:p>
        </w:tc>
      </w:tr>
      <w:tr w:rsidR="001D71AD" w:rsidRPr="00DF6B08" w:rsidTr="00DF6B08">
        <w:trPr>
          <w:trHeight w:val="197"/>
        </w:trPr>
        <w:tc>
          <w:tcPr>
            <w:tcW w:w="900" w:type="dxa"/>
          </w:tcPr>
          <w:p w:rsidR="001D71AD" w:rsidRPr="003A5D85" w:rsidRDefault="001D71AD" w:rsidP="00DF6B08">
            <w:pPr>
              <w:ind w:right="-11"/>
              <w:jc w:val="both"/>
              <w:rPr>
                <w:b/>
                <w:sz w:val="18"/>
                <w:lang w:val="fr-CA"/>
              </w:rPr>
            </w:pPr>
            <w:r w:rsidRPr="003A5D85">
              <w:rPr>
                <w:b/>
                <w:bCs/>
                <w:sz w:val="18"/>
                <w:lang w:val="fr-CA"/>
              </w:rPr>
              <w:t>C</w:t>
            </w:r>
          </w:p>
        </w:tc>
        <w:tc>
          <w:tcPr>
            <w:tcW w:w="1642" w:type="dxa"/>
          </w:tcPr>
          <w:p w:rsidR="001D71AD" w:rsidRPr="003A5D85" w:rsidRDefault="001D71AD" w:rsidP="00DF6B08">
            <w:pPr>
              <w:jc w:val="both"/>
              <w:rPr>
                <w:sz w:val="18"/>
                <w:lang w:val="fr-CA"/>
              </w:rPr>
            </w:pPr>
            <w:r w:rsidRPr="003A5D85">
              <w:rPr>
                <w:bCs/>
                <w:iCs/>
                <w:sz w:val="18"/>
                <w:lang w:val="fr-CA"/>
              </w:rPr>
              <w:t>26</w:t>
            </w:r>
          </w:p>
        </w:tc>
        <w:tc>
          <w:tcPr>
            <w:tcW w:w="1643" w:type="dxa"/>
          </w:tcPr>
          <w:p w:rsidR="001D71AD" w:rsidRPr="003A5D85" w:rsidRDefault="001D71AD" w:rsidP="00DF6B08">
            <w:pPr>
              <w:jc w:val="both"/>
              <w:rPr>
                <w:sz w:val="18"/>
                <w:lang w:val="fr-CA"/>
              </w:rPr>
            </w:pPr>
            <w:r w:rsidRPr="003A5D85">
              <w:rPr>
                <w:bCs/>
                <w:iCs/>
                <w:sz w:val="18"/>
                <w:lang w:val="fr-CA"/>
              </w:rPr>
              <w:t>35%</w:t>
            </w:r>
          </w:p>
        </w:tc>
        <w:tc>
          <w:tcPr>
            <w:tcW w:w="1642" w:type="dxa"/>
          </w:tcPr>
          <w:p w:rsidR="001D71AD" w:rsidRPr="003A5D85" w:rsidRDefault="001D71AD" w:rsidP="00DF6B08">
            <w:pPr>
              <w:ind w:left="47" w:right="33"/>
              <w:jc w:val="both"/>
              <w:rPr>
                <w:sz w:val="18"/>
                <w:lang w:val="fr-CA"/>
              </w:rPr>
            </w:pPr>
            <w:r w:rsidRPr="003A5D85">
              <w:rPr>
                <w:bCs/>
                <w:iCs/>
                <w:sz w:val="18"/>
                <w:lang w:val="fr-CA"/>
              </w:rPr>
              <w:t>37</w:t>
            </w:r>
          </w:p>
        </w:tc>
        <w:tc>
          <w:tcPr>
            <w:tcW w:w="1643" w:type="dxa"/>
          </w:tcPr>
          <w:p w:rsidR="001D71AD" w:rsidRPr="003A5D85" w:rsidRDefault="001D71AD" w:rsidP="00DF6B08">
            <w:pPr>
              <w:ind w:left="21"/>
              <w:jc w:val="both"/>
              <w:rPr>
                <w:sz w:val="18"/>
                <w:lang w:val="fr-CA"/>
              </w:rPr>
            </w:pPr>
            <w:r w:rsidRPr="003A5D85">
              <w:rPr>
                <w:bCs/>
                <w:iCs/>
                <w:sz w:val="18"/>
                <w:lang w:val="fr-CA"/>
              </w:rPr>
              <w:t>41%</w:t>
            </w:r>
          </w:p>
        </w:tc>
      </w:tr>
      <w:tr w:rsidR="001D71AD" w:rsidRPr="00DF6B08" w:rsidTr="00DF6B08">
        <w:trPr>
          <w:trHeight w:val="152"/>
        </w:trPr>
        <w:tc>
          <w:tcPr>
            <w:tcW w:w="900" w:type="dxa"/>
          </w:tcPr>
          <w:p w:rsidR="001D71AD" w:rsidRPr="003A5D85" w:rsidRDefault="001D71AD" w:rsidP="00DF6B08">
            <w:pPr>
              <w:ind w:right="-11"/>
              <w:jc w:val="both"/>
              <w:rPr>
                <w:b/>
                <w:sz w:val="18"/>
                <w:lang w:val="fr-CA"/>
              </w:rPr>
            </w:pPr>
            <w:r w:rsidRPr="003A5D85">
              <w:rPr>
                <w:b/>
                <w:bCs/>
                <w:sz w:val="18"/>
                <w:lang w:val="fr-CA"/>
              </w:rPr>
              <w:t>Total</w:t>
            </w:r>
          </w:p>
        </w:tc>
        <w:tc>
          <w:tcPr>
            <w:tcW w:w="1642" w:type="dxa"/>
          </w:tcPr>
          <w:p w:rsidR="001D71AD" w:rsidRPr="003A5D85" w:rsidRDefault="001D71AD" w:rsidP="00DF6B08">
            <w:pPr>
              <w:jc w:val="both"/>
              <w:rPr>
                <w:sz w:val="18"/>
                <w:lang w:val="fr-CA"/>
              </w:rPr>
            </w:pPr>
            <w:r w:rsidRPr="003A5D85">
              <w:rPr>
                <w:sz w:val="18"/>
                <w:lang w:val="fr-CA"/>
              </w:rPr>
              <w:t>133</w:t>
            </w:r>
          </w:p>
        </w:tc>
        <w:tc>
          <w:tcPr>
            <w:tcW w:w="1643" w:type="dxa"/>
          </w:tcPr>
          <w:p w:rsidR="001D71AD" w:rsidRPr="003A5D85" w:rsidRDefault="001D71AD" w:rsidP="00DF6B08">
            <w:pPr>
              <w:jc w:val="both"/>
              <w:rPr>
                <w:sz w:val="18"/>
                <w:lang w:val="fr-CA"/>
              </w:rPr>
            </w:pPr>
            <w:r w:rsidRPr="003A5D85">
              <w:rPr>
                <w:sz w:val="18"/>
                <w:lang w:val="fr-CA"/>
              </w:rPr>
              <w:t>100%</w:t>
            </w:r>
          </w:p>
        </w:tc>
        <w:tc>
          <w:tcPr>
            <w:tcW w:w="1642" w:type="dxa"/>
          </w:tcPr>
          <w:p w:rsidR="001D71AD" w:rsidRPr="003A5D85" w:rsidRDefault="001D71AD" w:rsidP="00DF6B08">
            <w:pPr>
              <w:ind w:left="47" w:right="33"/>
              <w:jc w:val="both"/>
              <w:rPr>
                <w:sz w:val="18"/>
                <w:lang w:val="fr-CA"/>
              </w:rPr>
            </w:pPr>
            <w:r w:rsidRPr="003A5D85">
              <w:rPr>
                <w:sz w:val="18"/>
                <w:lang w:val="fr-CA"/>
              </w:rPr>
              <w:t>134</w:t>
            </w:r>
            <w:r w:rsidRPr="003A5D85">
              <w:rPr>
                <w:sz w:val="18"/>
                <w:vertAlign w:val="superscript"/>
                <w:lang w:val="fr-CA"/>
              </w:rPr>
              <w:footnoteReference w:id="4"/>
            </w:r>
          </w:p>
        </w:tc>
        <w:tc>
          <w:tcPr>
            <w:tcW w:w="1643" w:type="dxa"/>
          </w:tcPr>
          <w:p w:rsidR="001D71AD" w:rsidRPr="003A5D85" w:rsidRDefault="001D71AD" w:rsidP="00DF6B08">
            <w:pPr>
              <w:ind w:left="21"/>
              <w:jc w:val="both"/>
              <w:rPr>
                <w:sz w:val="18"/>
                <w:lang w:val="fr-CA"/>
              </w:rPr>
            </w:pPr>
            <w:r w:rsidRPr="003A5D85">
              <w:rPr>
                <w:sz w:val="18"/>
                <w:lang w:val="fr-CA"/>
              </w:rPr>
              <w:t>100%</w:t>
            </w:r>
          </w:p>
        </w:tc>
      </w:tr>
    </w:tbl>
    <w:p w:rsidR="001D71AD" w:rsidRPr="00F84D3B" w:rsidRDefault="001D71AD" w:rsidP="00F9647B">
      <w:pPr>
        <w:ind w:left="1080" w:right="720"/>
        <w:jc w:val="both"/>
        <w:rPr>
          <w:lang w:val="en-US"/>
        </w:rPr>
      </w:pPr>
    </w:p>
    <w:p w:rsidR="001D71AD" w:rsidRPr="0033484F" w:rsidRDefault="001D71AD" w:rsidP="00BB13A1">
      <w:pPr>
        <w:numPr>
          <w:ilvl w:val="0"/>
          <w:numId w:val="4"/>
        </w:numPr>
        <w:ind w:left="1080" w:right="720" w:firstLine="0"/>
        <w:jc w:val="both"/>
        <w:rPr>
          <w:lang w:val="fr-FR"/>
        </w:rPr>
      </w:pPr>
      <w:r w:rsidRPr="006C774F">
        <w:rPr>
          <w:lang w:val="fr-FR"/>
        </w:rPr>
        <w:t xml:space="preserve">Les changements seraient plus prononcés pour les pays passant du Groupe B au Groupe C, car ce dernier est maintenant considérablement plus </w:t>
      </w:r>
      <w:r>
        <w:rPr>
          <w:lang w:val="fr-FR"/>
        </w:rPr>
        <w:t>nombreux</w:t>
      </w:r>
      <w:r w:rsidRPr="006C774F">
        <w:rPr>
          <w:lang w:val="fr-FR"/>
        </w:rPr>
        <w:t xml:space="preserve">. </w:t>
      </w:r>
      <w:r w:rsidRPr="009B13A2">
        <w:rPr>
          <w:lang w:val="fr-FR"/>
        </w:rPr>
        <w:t>Inversement, les pays du groupe B profiteraient considérablement du d</w:t>
      </w:r>
      <w:r>
        <w:rPr>
          <w:lang w:val="fr-FR"/>
        </w:rPr>
        <w:t xml:space="preserve">épeuplement vers le groupe C bien que les pays restés dans le groupe B ne soient pas dans une situation différente de celle où ils se trouvaient en 2008, ce qui signifie qu’il y a peu de raisons de changer beaucoup leurs attributions de ressources, </w:t>
      </w:r>
    </w:p>
    <w:p w:rsidR="001D71AD" w:rsidRPr="0033484F" w:rsidRDefault="001D71AD" w:rsidP="00624418">
      <w:pPr>
        <w:ind w:left="1080" w:right="720"/>
        <w:jc w:val="both"/>
        <w:rPr>
          <w:lang w:val="fr-FR"/>
        </w:rPr>
      </w:pPr>
    </w:p>
    <w:p w:rsidR="001D71AD" w:rsidRPr="007E5E96" w:rsidRDefault="001D71AD" w:rsidP="00BB13A1">
      <w:pPr>
        <w:numPr>
          <w:ilvl w:val="0"/>
          <w:numId w:val="4"/>
        </w:numPr>
        <w:ind w:left="1080" w:right="720" w:firstLine="0"/>
        <w:jc w:val="both"/>
        <w:rPr>
          <w:lang w:val="fr-FR"/>
        </w:rPr>
      </w:pPr>
      <w:r w:rsidRPr="0033484F">
        <w:rPr>
          <w:lang w:val="fr-FR"/>
        </w:rPr>
        <w:t xml:space="preserve">La nature du système de seuil rend cela plus problématique. Dans certains cas, des changements </w:t>
      </w:r>
      <w:r>
        <w:rPr>
          <w:lang w:val="fr-FR"/>
        </w:rPr>
        <w:t xml:space="preserve">infimes au point d’en être </w:t>
      </w:r>
      <w:r w:rsidRPr="0033484F">
        <w:rPr>
          <w:lang w:val="fr-FR"/>
        </w:rPr>
        <w:t xml:space="preserve">négligeables, auraient </w:t>
      </w:r>
      <w:r>
        <w:rPr>
          <w:lang w:val="fr-FR"/>
        </w:rPr>
        <w:t>des</w:t>
      </w:r>
      <w:r w:rsidRPr="0033484F">
        <w:rPr>
          <w:lang w:val="fr-FR"/>
        </w:rPr>
        <w:t xml:space="preserve"> effet</w:t>
      </w:r>
      <w:r>
        <w:rPr>
          <w:lang w:val="fr-FR"/>
        </w:rPr>
        <w:t>s</w:t>
      </w:r>
      <w:r w:rsidRPr="0033484F">
        <w:rPr>
          <w:lang w:val="fr-FR"/>
        </w:rPr>
        <w:t xml:space="preserve"> dramatique</w:t>
      </w:r>
      <w:r>
        <w:rPr>
          <w:lang w:val="fr-FR"/>
        </w:rPr>
        <w:t xml:space="preserve">ssur la quantité d’argent que pourrait recevoir un pays. </w:t>
      </w:r>
      <w:r w:rsidRPr="00844031">
        <w:rPr>
          <w:lang w:val="fr-FR"/>
        </w:rPr>
        <w:t xml:space="preserve">Par exemple, la </w:t>
      </w:r>
      <w:r>
        <w:rPr>
          <w:lang w:val="fr-FR"/>
        </w:rPr>
        <w:t xml:space="preserve">minime augmentation 0, 4 %, de la </w:t>
      </w:r>
      <w:r w:rsidRPr="00844031">
        <w:rPr>
          <w:lang w:val="fr-FR"/>
        </w:rPr>
        <w:t xml:space="preserve">proportion de la jeunesse jordanienne </w:t>
      </w:r>
      <w:r>
        <w:rPr>
          <w:lang w:val="fr-FR"/>
        </w:rPr>
        <w:t xml:space="preserve">est juste suffisante pour lui faire franchir un seuil. </w:t>
      </w:r>
      <w:r w:rsidRPr="00844031">
        <w:rPr>
          <w:lang w:val="fr-FR"/>
        </w:rPr>
        <w:t xml:space="preserve">En </w:t>
      </w:r>
      <w:r>
        <w:rPr>
          <w:lang w:val="fr-FR"/>
        </w:rPr>
        <w:t>consé</w:t>
      </w:r>
      <w:r w:rsidRPr="00844031">
        <w:rPr>
          <w:lang w:val="fr-FR"/>
        </w:rPr>
        <w:t>quence, le Jordanie passerait du Groupe C au groupe B, ce qui aurait des r</w:t>
      </w:r>
      <w:r>
        <w:rPr>
          <w:lang w:val="fr-FR"/>
        </w:rPr>
        <w:t xml:space="preserve">épercussions considérables sur le volume de ressources qu’elle pourrait recevoir. </w:t>
      </w:r>
    </w:p>
    <w:p w:rsidR="001D71AD" w:rsidRPr="007E5E96" w:rsidRDefault="001D71AD" w:rsidP="00445095">
      <w:pPr>
        <w:ind w:left="1080" w:right="720"/>
        <w:jc w:val="both"/>
        <w:rPr>
          <w:lang w:val="fr-FR"/>
        </w:rPr>
      </w:pPr>
    </w:p>
    <w:p w:rsidR="001D71AD" w:rsidRPr="00445095" w:rsidRDefault="001D71AD" w:rsidP="00445095">
      <w:pPr>
        <w:pStyle w:val="Heading2"/>
      </w:pPr>
      <w:bookmarkStart w:id="12" w:name="_Toc363918452"/>
      <w:r>
        <w:rPr>
          <w:lang w:val="fr-FR"/>
        </w:rPr>
        <w:t>Solutions aux problèmes</w:t>
      </w:r>
      <w:bookmarkEnd w:id="12"/>
    </w:p>
    <w:p w:rsidR="001D71AD" w:rsidRPr="0043716D" w:rsidRDefault="001D71AD" w:rsidP="0043716D">
      <w:pPr>
        <w:ind w:left="1080" w:right="720"/>
        <w:jc w:val="both"/>
        <w:rPr>
          <w:lang w:val="fr-FR"/>
        </w:rPr>
      </w:pPr>
    </w:p>
    <w:p w:rsidR="001D71AD" w:rsidRPr="0005050E" w:rsidRDefault="001D71AD" w:rsidP="00BB13A1">
      <w:pPr>
        <w:numPr>
          <w:ilvl w:val="0"/>
          <w:numId w:val="4"/>
        </w:numPr>
        <w:ind w:left="1080" w:right="720" w:firstLine="0"/>
        <w:jc w:val="both"/>
        <w:rPr>
          <w:lang w:val="fr-FR"/>
        </w:rPr>
      </w:pPr>
      <w:r w:rsidRPr="0005050E">
        <w:rPr>
          <w:lang w:val="fr-FR"/>
        </w:rPr>
        <w:t xml:space="preserve">Il faut, pour résoudre ces </w:t>
      </w:r>
      <w:r>
        <w:rPr>
          <w:lang w:val="fr-FR"/>
        </w:rPr>
        <w:t xml:space="preserve">problèmes, </w:t>
      </w:r>
      <w:r w:rsidRPr="0005050E">
        <w:rPr>
          <w:lang w:val="fr-FR"/>
        </w:rPr>
        <w:t xml:space="preserve">modifier le SAR de </w:t>
      </w:r>
      <w:r>
        <w:rPr>
          <w:lang w:val="fr-FR"/>
        </w:rPr>
        <w:t>plusieurs</w:t>
      </w:r>
      <w:r w:rsidRPr="0005050E">
        <w:rPr>
          <w:lang w:val="fr-FR"/>
        </w:rPr>
        <w:t xml:space="preserve"> manières ainsi qu’adopter d’autres changements exposés à la section IV de cette annexe. </w:t>
      </w:r>
    </w:p>
    <w:p w:rsidR="001D71AD" w:rsidRPr="0005050E" w:rsidRDefault="001D71AD" w:rsidP="0043716D">
      <w:pPr>
        <w:ind w:left="1080" w:right="720"/>
        <w:jc w:val="both"/>
        <w:rPr>
          <w:lang w:val="fr-FR"/>
        </w:rPr>
      </w:pPr>
    </w:p>
    <w:p w:rsidR="001D71AD" w:rsidRPr="0005050E" w:rsidRDefault="001D71AD" w:rsidP="00BB13A1">
      <w:pPr>
        <w:numPr>
          <w:ilvl w:val="0"/>
          <w:numId w:val="4"/>
        </w:numPr>
        <w:ind w:left="1080" w:right="720" w:firstLine="0"/>
        <w:jc w:val="both"/>
        <w:rPr>
          <w:lang w:val="fr-FR"/>
        </w:rPr>
      </w:pPr>
      <w:r w:rsidRPr="0005050E">
        <w:rPr>
          <w:lang w:val="fr-FR"/>
        </w:rPr>
        <w:lastRenderedPageBreak/>
        <w:t xml:space="preserve">La révision proposée du SAR modifiera de plusieurs manières </w:t>
      </w:r>
      <w:r>
        <w:rPr>
          <w:lang w:val="fr-FR"/>
        </w:rPr>
        <w:t xml:space="preserve">déterminantes </w:t>
      </w:r>
      <w:r w:rsidRPr="0005050E">
        <w:rPr>
          <w:lang w:val="fr-FR"/>
        </w:rPr>
        <w:t>le processus utilisé dans le système actuel.La Figure 3 présente un résumé du processus actuel et du nouveau processus.</w:t>
      </w:r>
    </w:p>
    <w:p w:rsidR="001D71AD" w:rsidRPr="0005050E" w:rsidRDefault="001D71AD" w:rsidP="00445095">
      <w:pPr>
        <w:ind w:left="1080" w:right="720"/>
        <w:jc w:val="both"/>
        <w:rPr>
          <w:lang w:val="fr-FR"/>
        </w:rPr>
      </w:pPr>
    </w:p>
    <w:p w:rsidR="001D71AD" w:rsidRPr="00A90A3A" w:rsidRDefault="001D71AD" w:rsidP="00445095">
      <w:pPr>
        <w:keepNext/>
        <w:ind w:left="1080" w:right="720"/>
        <w:jc w:val="both"/>
        <w:rPr>
          <w:lang w:val="fr-FR"/>
        </w:rPr>
      </w:pPr>
      <w:r w:rsidRPr="00A90A3A">
        <w:rPr>
          <w:b/>
          <w:lang w:val="fr-FR"/>
        </w:rPr>
        <w:t>Figure 3: Comparaison du déroulement des op</w:t>
      </w:r>
      <w:r>
        <w:rPr>
          <w:b/>
          <w:lang w:val="fr-FR"/>
        </w:rPr>
        <w:t>é</w:t>
      </w:r>
      <w:r w:rsidRPr="00A90A3A">
        <w:rPr>
          <w:b/>
          <w:lang w:val="fr-FR"/>
        </w:rPr>
        <w:t>rations entre</w:t>
      </w:r>
      <w:r>
        <w:rPr>
          <w:b/>
          <w:lang w:val="fr-FR"/>
        </w:rPr>
        <w:t xml:space="preserve"> le SAR de</w:t>
      </w:r>
      <w:r w:rsidRPr="00A90A3A">
        <w:rPr>
          <w:b/>
          <w:lang w:val="fr-FR"/>
        </w:rPr>
        <w:t>2007et</w:t>
      </w:r>
      <w:r>
        <w:rPr>
          <w:b/>
          <w:lang w:val="fr-FR"/>
        </w:rPr>
        <w:t>le SAR révisé</w:t>
      </w:r>
    </w:p>
    <w:p w:rsidR="001D71AD" w:rsidRPr="00445095" w:rsidRDefault="00675BF5" w:rsidP="00C26D87">
      <w:pPr>
        <w:ind w:left="1080" w:right="720"/>
        <w:jc w:val="both"/>
        <w:rPr>
          <w:lang w:val="en-US"/>
        </w:rPr>
      </w:pPr>
      <w:r>
        <w:rPr>
          <w:noProof/>
          <w:lang w:val="en-US"/>
        </w:rPr>
        <w:drawing>
          <wp:inline distT="0" distB="0" distL="0" distR="0">
            <wp:extent cx="4762500" cy="2133600"/>
            <wp:effectExtent l="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133600"/>
                    </a:xfrm>
                    <a:prstGeom prst="rect">
                      <a:avLst/>
                    </a:prstGeom>
                    <a:noFill/>
                    <a:ln>
                      <a:noFill/>
                    </a:ln>
                  </pic:spPr>
                </pic:pic>
              </a:graphicData>
            </a:graphic>
          </wp:inline>
        </w:drawing>
      </w:r>
    </w:p>
    <w:p w:rsidR="001D71AD" w:rsidRPr="003E4225" w:rsidRDefault="001D71AD" w:rsidP="00C26D87">
      <w:pPr>
        <w:ind w:left="1080" w:right="720"/>
        <w:jc w:val="both"/>
        <w:rPr>
          <w:lang w:val="fr-FR"/>
        </w:rPr>
      </w:pPr>
      <w:r>
        <w:rPr>
          <w:lang w:val="en-US"/>
        </w:rPr>
        <w:tab/>
      </w:r>
      <w:r>
        <w:rPr>
          <w:lang w:val="en-US"/>
        </w:rPr>
        <w:tab/>
      </w:r>
      <w:r w:rsidRPr="003E4225">
        <w:rPr>
          <w:lang w:val="fr-FR"/>
        </w:rPr>
        <w:t>N° 1</w:t>
      </w:r>
      <w:r w:rsidRPr="003E4225">
        <w:rPr>
          <w:lang w:val="fr-FR"/>
        </w:rPr>
        <w:tab/>
      </w:r>
      <w:r w:rsidRPr="003E4225">
        <w:rPr>
          <w:lang w:val="fr-FR"/>
        </w:rPr>
        <w:tab/>
        <w:t>N° 2</w:t>
      </w:r>
      <w:r w:rsidRPr="003E4225">
        <w:rPr>
          <w:lang w:val="fr-FR"/>
        </w:rPr>
        <w:tab/>
      </w:r>
      <w:r w:rsidRPr="003E4225">
        <w:rPr>
          <w:lang w:val="fr-FR"/>
        </w:rPr>
        <w:tab/>
      </w:r>
      <w:r w:rsidRPr="003E4225">
        <w:rPr>
          <w:lang w:val="fr-FR"/>
        </w:rPr>
        <w:tab/>
        <w:t>N° 3</w:t>
      </w:r>
      <w:r w:rsidRPr="003E4225">
        <w:rPr>
          <w:lang w:val="fr-FR"/>
        </w:rPr>
        <w:tab/>
      </w:r>
      <w:r w:rsidRPr="003E4225">
        <w:rPr>
          <w:lang w:val="fr-FR"/>
        </w:rPr>
        <w:tab/>
      </w:r>
      <w:r w:rsidRPr="003E4225">
        <w:rPr>
          <w:lang w:val="fr-FR"/>
        </w:rPr>
        <w:tab/>
        <w:t>N° 4</w:t>
      </w:r>
      <w:r w:rsidRPr="003E4225">
        <w:rPr>
          <w:lang w:val="fr-FR"/>
        </w:rPr>
        <w:tab/>
      </w:r>
      <w:r w:rsidRPr="003E4225">
        <w:rPr>
          <w:lang w:val="fr-FR"/>
        </w:rPr>
        <w:tab/>
        <w:t>N° 5</w:t>
      </w:r>
      <w:r w:rsidRPr="003E4225">
        <w:rPr>
          <w:lang w:val="fr-FR"/>
        </w:rPr>
        <w:tab/>
      </w:r>
      <w:r w:rsidRPr="003E4225">
        <w:rPr>
          <w:lang w:val="fr-FR"/>
        </w:rPr>
        <w:tab/>
        <w:t>N° 6</w:t>
      </w:r>
    </w:p>
    <w:p w:rsidR="001D71AD" w:rsidRPr="003E4225" w:rsidRDefault="001D71AD" w:rsidP="00C26D87">
      <w:pPr>
        <w:ind w:left="1080" w:right="720"/>
        <w:jc w:val="both"/>
        <w:rPr>
          <w:lang w:val="fr-FR"/>
        </w:rPr>
      </w:pPr>
      <w:r w:rsidRPr="003E4225">
        <w:rPr>
          <w:lang w:val="fr-FR"/>
        </w:rPr>
        <w:t>SAR 2007      Proposition 2013</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170"/>
        <w:gridCol w:w="1440"/>
        <w:gridCol w:w="1530"/>
        <w:gridCol w:w="1170"/>
        <w:gridCol w:w="1260"/>
        <w:gridCol w:w="1368"/>
      </w:tblGrid>
      <w:tr w:rsidR="001D71AD" w:rsidRPr="00FD64DE" w:rsidTr="00FD64DE">
        <w:trPr>
          <w:cantSplit/>
          <w:trHeight w:val="1134"/>
        </w:trPr>
        <w:tc>
          <w:tcPr>
            <w:tcW w:w="558" w:type="dxa"/>
            <w:textDirection w:val="btLr"/>
          </w:tcPr>
          <w:p w:rsidR="001D71AD" w:rsidRPr="00FD64DE" w:rsidRDefault="001D71AD" w:rsidP="00E90CFF">
            <w:pPr>
              <w:ind w:left="113" w:right="720"/>
              <w:rPr>
                <w:rFonts w:ascii="Calibri" w:hAnsi="Calibri"/>
                <w:lang w:val="en-US"/>
              </w:rPr>
            </w:pPr>
            <w:r w:rsidRPr="00FD64DE">
              <w:rPr>
                <w:rFonts w:ascii="Calibri" w:hAnsi="Calibri"/>
                <w:sz w:val="16"/>
                <w:szCs w:val="16"/>
                <w:lang w:val="en-US"/>
              </w:rPr>
              <w:t>SAR200</w:t>
            </w:r>
            <w:r>
              <w:rPr>
                <w:rFonts w:ascii="Calibri" w:hAnsi="Calibri"/>
                <w:sz w:val="16"/>
                <w:szCs w:val="16"/>
                <w:lang w:val="en-US"/>
              </w:rPr>
              <w:t>77</w:t>
            </w:r>
            <w:r w:rsidRPr="00FD64DE">
              <w:rPr>
                <w:rFonts w:ascii="Calibri" w:hAnsi="Calibri"/>
                <w:sz w:val="16"/>
                <w:szCs w:val="16"/>
                <w:lang w:val="en-US"/>
              </w:rPr>
              <w:t>77</w:t>
            </w:r>
            <w:r w:rsidRPr="00FD64DE">
              <w:rPr>
                <w:rFonts w:ascii="Calibri" w:hAnsi="Calibri"/>
                <w:lang w:val="en-US"/>
              </w:rPr>
              <w:t>7</w:t>
            </w:r>
          </w:p>
        </w:tc>
        <w:tc>
          <w:tcPr>
            <w:tcW w:w="1170" w:type="dxa"/>
          </w:tcPr>
          <w:p w:rsidR="001D71AD" w:rsidRPr="00FD64DE" w:rsidRDefault="001D71AD" w:rsidP="00FD64DE">
            <w:pPr>
              <w:ind w:right="72"/>
              <w:rPr>
                <w:rFonts w:ascii="Calibri" w:hAnsi="Calibri"/>
                <w:sz w:val="18"/>
                <w:szCs w:val="18"/>
                <w:lang w:val="fr-FR"/>
              </w:rPr>
            </w:pPr>
            <w:r w:rsidRPr="00FD64DE">
              <w:rPr>
                <w:rFonts w:ascii="Calibri" w:hAnsi="Calibri"/>
                <w:sz w:val="18"/>
                <w:szCs w:val="18"/>
                <w:lang w:val="fr-FR"/>
              </w:rPr>
              <w:t>Définir les indicateurs</w:t>
            </w:r>
          </w:p>
          <w:p w:rsidR="001D71AD" w:rsidRPr="00FD64DE" w:rsidRDefault="001D71AD" w:rsidP="00FD64DE">
            <w:pPr>
              <w:ind w:right="72"/>
              <w:rPr>
                <w:rFonts w:ascii="Calibri" w:hAnsi="Calibri"/>
                <w:lang w:val="fr-FR"/>
              </w:rPr>
            </w:pPr>
            <w:r w:rsidRPr="00FD64DE">
              <w:rPr>
                <w:rFonts w:ascii="Calibri" w:hAnsi="Calibri"/>
                <w:sz w:val="18"/>
                <w:szCs w:val="18"/>
                <w:lang w:val="fr-FR"/>
              </w:rPr>
              <w:t>de besoins</w:t>
            </w:r>
          </w:p>
        </w:tc>
        <w:tc>
          <w:tcPr>
            <w:tcW w:w="1440" w:type="dxa"/>
          </w:tcPr>
          <w:p w:rsidR="001D71AD" w:rsidRPr="00FD64DE" w:rsidRDefault="001D71AD" w:rsidP="00FD64DE">
            <w:pPr>
              <w:ind w:right="720"/>
              <w:jc w:val="both"/>
              <w:rPr>
                <w:rFonts w:ascii="Calibri" w:hAnsi="Calibri"/>
                <w:lang w:val="fr-FR"/>
              </w:rPr>
            </w:pPr>
          </w:p>
        </w:tc>
        <w:tc>
          <w:tcPr>
            <w:tcW w:w="1530" w:type="dxa"/>
          </w:tcPr>
          <w:p w:rsidR="001D71AD" w:rsidRPr="00FD64DE" w:rsidRDefault="001D71AD" w:rsidP="00FD64DE">
            <w:pPr>
              <w:ind w:right="72"/>
              <w:jc w:val="both"/>
              <w:rPr>
                <w:rFonts w:ascii="Calibri" w:hAnsi="Calibri"/>
                <w:lang w:val="fr-FR"/>
              </w:rPr>
            </w:pPr>
          </w:p>
        </w:tc>
        <w:tc>
          <w:tcPr>
            <w:tcW w:w="1170" w:type="dxa"/>
          </w:tcPr>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Grouper</w:t>
            </w:r>
          </w:p>
          <w:p w:rsidR="001D71AD" w:rsidRPr="00FD64DE" w:rsidRDefault="001D71AD" w:rsidP="00FD64DE">
            <w:pPr>
              <w:tabs>
                <w:tab w:val="left" w:pos="882"/>
              </w:tabs>
              <w:ind w:right="72"/>
              <w:jc w:val="both"/>
              <w:rPr>
                <w:rFonts w:ascii="Calibri" w:hAnsi="Calibri"/>
                <w:sz w:val="16"/>
                <w:szCs w:val="16"/>
                <w:lang w:val="fr-FR"/>
              </w:rPr>
            </w:pPr>
            <w:r w:rsidRPr="00FD64DE">
              <w:rPr>
                <w:rFonts w:ascii="Calibri" w:hAnsi="Calibri"/>
                <w:sz w:val="16"/>
                <w:szCs w:val="16"/>
                <w:lang w:val="fr-FR"/>
              </w:rPr>
              <w:t>les pays</w:t>
            </w:r>
          </w:p>
          <w:p w:rsidR="001D71AD" w:rsidRPr="00FD64DE" w:rsidRDefault="001D71AD" w:rsidP="00FD64DE">
            <w:pPr>
              <w:ind w:right="720"/>
              <w:jc w:val="both"/>
              <w:rPr>
                <w:rFonts w:ascii="Calibri" w:hAnsi="Calibri"/>
                <w:sz w:val="16"/>
                <w:szCs w:val="16"/>
                <w:lang w:val="fr-FR"/>
              </w:rPr>
            </w:pPr>
            <w:r w:rsidRPr="00FD64DE">
              <w:rPr>
                <w:rFonts w:ascii="Calibri" w:hAnsi="Calibri"/>
                <w:sz w:val="16"/>
                <w:szCs w:val="16"/>
                <w:lang w:val="fr-FR"/>
              </w:rPr>
              <w:t xml:space="preserve">en </w:t>
            </w:r>
          </w:p>
          <w:p w:rsidR="001D71AD" w:rsidRPr="00FD64DE" w:rsidRDefault="001D71AD" w:rsidP="00FD64DE">
            <w:pPr>
              <w:tabs>
                <w:tab w:val="left" w:pos="882"/>
                <w:tab w:val="left" w:pos="954"/>
              </w:tabs>
              <w:ind w:right="72"/>
              <w:jc w:val="both"/>
              <w:rPr>
                <w:rFonts w:ascii="Calibri" w:hAnsi="Calibri"/>
                <w:sz w:val="16"/>
                <w:szCs w:val="16"/>
                <w:lang w:val="fr-FR"/>
              </w:rPr>
            </w:pPr>
            <w:r w:rsidRPr="00FD64DE">
              <w:rPr>
                <w:rFonts w:ascii="Calibri" w:hAnsi="Calibri"/>
                <w:sz w:val="16"/>
                <w:szCs w:val="16"/>
                <w:lang w:val="fr-FR"/>
              </w:rPr>
              <w:t xml:space="preserve">catégories </w:t>
            </w:r>
          </w:p>
          <w:p w:rsidR="001D71AD" w:rsidRPr="00FD64DE" w:rsidRDefault="001D71AD" w:rsidP="00FD64DE">
            <w:pPr>
              <w:ind w:right="72"/>
              <w:jc w:val="both"/>
              <w:rPr>
                <w:rFonts w:ascii="Calibri" w:hAnsi="Calibri"/>
                <w:lang w:val="fr-FR"/>
              </w:rPr>
            </w:pPr>
            <w:r w:rsidRPr="00FD64DE">
              <w:rPr>
                <w:rFonts w:ascii="Calibri" w:hAnsi="Calibri"/>
                <w:sz w:val="16"/>
                <w:szCs w:val="16"/>
                <w:lang w:val="fr-FR"/>
              </w:rPr>
              <w:t>cohérentes</w:t>
            </w:r>
          </w:p>
        </w:tc>
        <w:tc>
          <w:tcPr>
            <w:tcW w:w="1260" w:type="dxa"/>
          </w:tcPr>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Établir</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les proportions</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 xml:space="preserve">de </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 xml:space="preserve">ressources </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 xml:space="preserve">par groupe </w:t>
            </w:r>
          </w:p>
        </w:tc>
        <w:tc>
          <w:tcPr>
            <w:tcW w:w="1368" w:type="dxa"/>
          </w:tcPr>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Fixer les chiffres</w:t>
            </w:r>
          </w:p>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finaux de</w:t>
            </w:r>
          </w:p>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planification</w:t>
            </w:r>
          </w:p>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par pays</w:t>
            </w:r>
          </w:p>
        </w:tc>
      </w:tr>
      <w:tr w:rsidR="001D71AD" w:rsidRPr="00FD64DE" w:rsidTr="00FD64DE">
        <w:trPr>
          <w:cantSplit/>
          <w:trHeight w:val="1134"/>
        </w:trPr>
        <w:tc>
          <w:tcPr>
            <w:tcW w:w="558" w:type="dxa"/>
            <w:textDirection w:val="btLr"/>
          </w:tcPr>
          <w:p w:rsidR="001D71AD" w:rsidRPr="00FD64DE" w:rsidRDefault="001D71AD" w:rsidP="00FD64DE">
            <w:pPr>
              <w:ind w:left="113" w:right="720"/>
              <w:rPr>
                <w:rFonts w:ascii="Calibri" w:hAnsi="Calibri"/>
                <w:lang w:val="fr-FR"/>
              </w:rPr>
            </w:pPr>
            <w:r w:rsidRPr="00FD64DE">
              <w:rPr>
                <w:rFonts w:ascii="Calibri" w:hAnsi="Calibri"/>
                <w:sz w:val="16"/>
                <w:szCs w:val="16"/>
                <w:lang w:val="fr-FR"/>
              </w:rPr>
              <w:t>Propos</w:t>
            </w:r>
            <w:r>
              <w:rPr>
                <w:rFonts w:ascii="Calibri" w:hAnsi="Calibri"/>
                <w:sz w:val="16"/>
                <w:szCs w:val="16"/>
                <w:lang w:val="fr-FR"/>
              </w:rPr>
              <w:t>it</w:t>
            </w:r>
          </w:p>
        </w:tc>
        <w:tc>
          <w:tcPr>
            <w:tcW w:w="1170" w:type="dxa"/>
          </w:tcPr>
          <w:p w:rsidR="001D71AD" w:rsidRPr="00FD64DE" w:rsidRDefault="001D71AD" w:rsidP="00FD64DE">
            <w:pPr>
              <w:ind w:right="72"/>
              <w:rPr>
                <w:rFonts w:ascii="Calibri" w:hAnsi="Calibri"/>
                <w:sz w:val="18"/>
                <w:szCs w:val="18"/>
                <w:lang w:val="fr-FR"/>
              </w:rPr>
            </w:pPr>
            <w:r w:rsidRPr="00FD64DE">
              <w:rPr>
                <w:rFonts w:ascii="Calibri" w:hAnsi="Calibri"/>
                <w:sz w:val="18"/>
                <w:szCs w:val="18"/>
                <w:lang w:val="fr-FR"/>
              </w:rPr>
              <w:t>Définir les indicateurs</w:t>
            </w:r>
          </w:p>
          <w:p w:rsidR="001D71AD" w:rsidRPr="00FD64DE" w:rsidRDefault="001D71AD" w:rsidP="00FD64DE">
            <w:pPr>
              <w:ind w:right="72"/>
              <w:jc w:val="both"/>
              <w:rPr>
                <w:rFonts w:ascii="Calibri" w:hAnsi="Calibri"/>
                <w:lang w:val="fr-FR"/>
              </w:rPr>
            </w:pPr>
            <w:r w:rsidRPr="00FD64DE">
              <w:rPr>
                <w:rFonts w:ascii="Calibri" w:hAnsi="Calibri"/>
                <w:sz w:val="18"/>
                <w:szCs w:val="18"/>
                <w:lang w:val="fr-FR"/>
              </w:rPr>
              <w:t>de besoins</w:t>
            </w:r>
          </w:p>
        </w:tc>
        <w:tc>
          <w:tcPr>
            <w:tcW w:w="1440" w:type="dxa"/>
          </w:tcPr>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 xml:space="preserve">Fixer </w:t>
            </w:r>
          </w:p>
          <w:p w:rsidR="001D71AD" w:rsidRPr="00FD64DE" w:rsidRDefault="001D71AD" w:rsidP="00E90CFF">
            <w:pPr>
              <w:ind w:right="252"/>
              <w:jc w:val="both"/>
              <w:rPr>
                <w:rFonts w:ascii="Calibri" w:hAnsi="Calibri"/>
                <w:sz w:val="16"/>
                <w:szCs w:val="16"/>
                <w:lang w:val="fr-FR"/>
              </w:rPr>
            </w:pPr>
            <w:r w:rsidRPr="00FD64DE">
              <w:rPr>
                <w:rFonts w:ascii="Calibri" w:hAnsi="Calibri"/>
                <w:sz w:val="16"/>
                <w:szCs w:val="16"/>
                <w:lang w:val="fr-FR"/>
              </w:rPr>
              <w:t>L</w:t>
            </w:r>
            <w:r>
              <w:rPr>
                <w:rFonts w:ascii="Calibri" w:hAnsi="Calibri"/>
                <w:sz w:val="16"/>
                <w:szCs w:val="16"/>
                <w:lang w:val="fr-FR"/>
              </w:rPr>
              <w:t>e facteur de p</w:t>
            </w:r>
            <w:r w:rsidRPr="00FD64DE">
              <w:rPr>
                <w:rFonts w:ascii="Calibri" w:hAnsi="Calibri"/>
                <w:sz w:val="16"/>
                <w:szCs w:val="16"/>
                <w:lang w:val="fr-FR"/>
              </w:rPr>
              <w:t>ondération</w:t>
            </w:r>
            <w:r>
              <w:rPr>
                <w:rFonts w:ascii="Calibri" w:hAnsi="Calibri"/>
                <w:sz w:val="16"/>
                <w:szCs w:val="16"/>
                <w:lang w:val="fr-FR"/>
              </w:rPr>
              <w:t xml:space="preserve"> de l’indicateur</w:t>
            </w:r>
          </w:p>
        </w:tc>
        <w:tc>
          <w:tcPr>
            <w:tcW w:w="1530" w:type="dxa"/>
          </w:tcPr>
          <w:p w:rsidR="001D71AD" w:rsidRPr="00FD64DE" w:rsidRDefault="001D71AD" w:rsidP="00FD64DE">
            <w:pPr>
              <w:ind w:right="720"/>
              <w:jc w:val="both"/>
              <w:rPr>
                <w:rFonts w:ascii="Calibri" w:hAnsi="Calibri"/>
                <w:sz w:val="16"/>
                <w:szCs w:val="16"/>
                <w:lang w:val="fr-FR"/>
              </w:rPr>
            </w:pPr>
            <w:r w:rsidRPr="00FD64DE">
              <w:rPr>
                <w:rFonts w:ascii="Calibri" w:hAnsi="Calibri"/>
                <w:sz w:val="16"/>
                <w:szCs w:val="16"/>
                <w:lang w:val="fr-FR"/>
              </w:rPr>
              <w:t>Calculer</w:t>
            </w:r>
          </w:p>
          <w:p w:rsidR="001D71AD" w:rsidRPr="00FD64DE" w:rsidRDefault="001D71AD" w:rsidP="00FD64DE">
            <w:pPr>
              <w:ind w:right="162"/>
              <w:jc w:val="both"/>
              <w:rPr>
                <w:rFonts w:ascii="Calibri" w:hAnsi="Calibri"/>
                <w:sz w:val="16"/>
                <w:szCs w:val="16"/>
                <w:lang w:val="fr-FR"/>
              </w:rPr>
            </w:pPr>
            <w:r w:rsidRPr="00FD64DE">
              <w:rPr>
                <w:rFonts w:ascii="Calibri" w:hAnsi="Calibri"/>
                <w:sz w:val="16"/>
                <w:szCs w:val="16"/>
                <w:lang w:val="fr-FR"/>
              </w:rPr>
              <w:t>les attributions</w:t>
            </w:r>
          </w:p>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indicatives</w:t>
            </w:r>
          </w:p>
          <w:p w:rsidR="001D71AD" w:rsidRPr="00FD64DE" w:rsidRDefault="001D71AD" w:rsidP="00FD64DE">
            <w:pPr>
              <w:ind w:right="162"/>
              <w:rPr>
                <w:rFonts w:ascii="Calibri" w:hAnsi="Calibri"/>
                <w:sz w:val="16"/>
                <w:szCs w:val="16"/>
                <w:lang w:val="fr-FR"/>
              </w:rPr>
            </w:pPr>
            <w:r w:rsidRPr="00FD64DE">
              <w:rPr>
                <w:rFonts w:ascii="Calibri" w:hAnsi="Calibri"/>
                <w:sz w:val="16"/>
                <w:szCs w:val="16"/>
                <w:lang w:val="fr-FR"/>
              </w:rPr>
              <w:t>d’après les besoins</w:t>
            </w:r>
          </w:p>
        </w:tc>
        <w:tc>
          <w:tcPr>
            <w:tcW w:w="1170" w:type="dxa"/>
          </w:tcPr>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Grouper</w:t>
            </w:r>
          </w:p>
          <w:p w:rsidR="001D71AD" w:rsidRPr="00FD64DE" w:rsidRDefault="001D71AD" w:rsidP="00FD64DE">
            <w:pPr>
              <w:tabs>
                <w:tab w:val="left" w:pos="882"/>
              </w:tabs>
              <w:ind w:right="72"/>
              <w:jc w:val="both"/>
              <w:rPr>
                <w:rFonts w:ascii="Calibri" w:hAnsi="Calibri"/>
                <w:sz w:val="16"/>
                <w:szCs w:val="16"/>
                <w:lang w:val="fr-FR"/>
              </w:rPr>
            </w:pPr>
            <w:r w:rsidRPr="00FD64DE">
              <w:rPr>
                <w:rFonts w:ascii="Calibri" w:hAnsi="Calibri"/>
                <w:sz w:val="16"/>
                <w:szCs w:val="16"/>
                <w:lang w:val="fr-FR"/>
              </w:rPr>
              <w:t>les pays</w:t>
            </w:r>
          </w:p>
          <w:p w:rsidR="001D71AD" w:rsidRPr="00FD64DE" w:rsidRDefault="001D71AD" w:rsidP="00FD64DE">
            <w:pPr>
              <w:ind w:right="720"/>
              <w:jc w:val="both"/>
              <w:rPr>
                <w:rFonts w:ascii="Calibri" w:hAnsi="Calibri"/>
                <w:sz w:val="16"/>
                <w:szCs w:val="16"/>
                <w:lang w:val="fr-FR"/>
              </w:rPr>
            </w:pPr>
            <w:r w:rsidRPr="00FD64DE">
              <w:rPr>
                <w:rFonts w:ascii="Calibri" w:hAnsi="Calibri"/>
                <w:sz w:val="16"/>
                <w:szCs w:val="16"/>
                <w:lang w:val="fr-FR"/>
              </w:rPr>
              <w:t xml:space="preserve">en </w:t>
            </w:r>
          </w:p>
          <w:p w:rsidR="001D71AD" w:rsidRPr="00FD64DE" w:rsidRDefault="001D71AD" w:rsidP="00FD64DE">
            <w:pPr>
              <w:tabs>
                <w:tab w:val="left" w:pos="882"/>
                <w:tab w:val="left" w:pos="954"/>
              </w:tabs>
              <w:ind w:right="72"/>
              <w:jc w:val="both"/>
              <w:rPr>
                <w:rFonts w:ascii="Calibri" w:hAnsi="Calibri"/>
                <w:sz w:val="16"/>
                <w:szCs w:val="16"/>
                <w:lang w:val="fr-FR"/>
              </w:rPr>
            </w:pPr>
            <w:r w:rsidRPr="00FD64DE">
              <w:rPr>
                <w:rFonts w:ascii="Calibri" w:hAnsi="Calibri"/>
                <w:sz w:val="16"/>
                <w:szCs w:val="16"/>
                <w:lang w:val="fr-FR"/>
              </w:rPr>
              <w:t xml:space="preserve">catégories </w:t>
            </w:r>
          </w:p>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cohérentes</w:t>
            </w:r>
          </w:p>
        </w:tc>
        <w:tc>
          <w:tcPr>
            <w:tcW w:w="1260" w:type="dxa"/>
          </w:tcPr>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Établir</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les proportions</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 xml:space="preserve">de </w:t>
            </w:r>
          </w:p>
          <w:p w:rsidR="001D71AD" w:rsidRPr="00FD64DE" w:rsidRDefault="001D71AD" w:rsidP="00FD64DE">
            <w:pPr>
              <w:ind w:right="50"/>
              <w:jc w:val="both"/>
              <w:rPr>
                <w:rFonts w:ascii="Calibri" w:hAnsi="Calibri"/>
                <w:sz w:val="16"/>
                <w:szCs w:val="16"/>
                <w:lang w:val="fr-FR"/>
              </w:rPr>
            </w:pPr>
            <w:r w:rsidRPr="00FD64DE">
              <w:rPr>
                <w:rFonts w:ascii="Calibri" w:hAnsi="Calibri"/>
                <w:sz w:val="16"/>
                <w:szCs w:val="16"/>
                <w:lang w:val="fr-FR"/>
              </w:rPr>
              <w:t xml:space="preserve">ressources </w:t>
            </w:r>
          </w:p>
          <w:p w:rsidR="001D71AD" w:rsidRPr="00FD64DE" w:rsidRDefault="001D71AD" w:rsidP="00FD64DE">
            <w:pPr>
              <w:ind w:right="72"/>
              <w:jc w:val="both"/>
              <w:rPr>
                <w:rFonts w:ascii="Calibri" w:hAnsi="Calibri"/>
                <w:sz w:val="16"/>
                <w:szCs w:val="16"/>
                <w:lang w:val="fr-FR"/>
              </w:rPr>
            </w:pPr>
            <w:r w:rsidRPr="00FD64DE">
              <w:rPr>
                <w:rFonts w:ascii="Calibri" w:hAnsi="Calibri"/>
                <w:sz w:val="16"/>
                <w:szCs w:val="16"/>
                <w:lang w:val="fr-FR"/>
              </w:rPr>
              <w:t>par groupe</w:t>
            </w:r>
          </w:p>
        </w:tc>
        <w:tc>
          <w:tcPr>
            <w:tcW w:w="1368" w:type="dxa"/>
          </w:tcPr>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Fixer les chiffres</w:t>
            </w:r>
          </w:p>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finaux de</w:t>
            </w:r>
          </w:p>
          <w:p w:rsidR="001D71AD" w:rsidRPr="00FD64DE" w:rsidRDefault="001D71AD" w:rsidP="00FD64DE">
            <w:pPr>
              <w:jc w:val="both"/>
              <w:rPr>
                <w:rFonts w:ascii="Calibri" w:hAnsi="Calibri"/>
                <w:sz w:val="16"/>
                <w:szCs w:val="16"/>
                <w:lang w:val="fr-FR"/>
              </w:rPr>
            </w:pPr>
            <w:r w:rsidRPr="00FD64DE">
              <w:rPr>
                <w:rFonts w:ascii="Calibri" w:hAnsi="Calibri"/>
                <w:sz w:val="16"/>
                <w:szCs w:val="16"/>
                <w:lang w:val="fr-FR"/>
              </w:rPr>
              <w:t>planification</w:t>
            </w:r>
          </w:p>
          <w:p w:rsidR="001D71AD" w:rsidRPr="00FD64DE" w:rsidRDefault="001D71AD" w:rsidP="00FD64DE">
            <w:pPr>
              <w:ind w:right="90"/>
              <w:jc w:val="both"/>
              <w:rPr>
                <w:rFonts w:ascii="Calibri" w:hAnsi="Calibri"/>
                <w:sz w:val="16"/>
                <w:szCs w:val="16"/>
                <w:lang w:val="fr-FR"/>
              </w:rPr>
            </w:pPr>
            <w:r w:rsidRPr="00FD64DE">
              <w:rPr>
                <w:rFonts w:ascii="Calibri" w:hAnsi="Calibri"/>
                <w:sz w:val="16"/>
                <w:szCs w:val="16"/>
                <w:lang w:val="fr-FR"/>
              </w:rPr>
              <w:t>par pays</w:t>
            </w:r>
          </w:p>
        </w:tc>
      </w:tr>
    </w:tbl>
    <w:p w:rsidR="001D71AD" w:rsidRPr="00F55D2D" w:rsidRDefault="001D71AD" w:rsidP="00C26D87">
      <w:pPr>
        <w:ind w:left="1080" w:right="720"/>
        <w:jc w:val="both"/>
        <w:rPr>
          <w:lang w:val="fr-FR"/>
        </w:rPr>
      </w:pPr>
    </w:p>
    <w:p w:rsidR="001D71AD" w:rsidRPr="00F55D2D" w:rsidRDefault="001D71AD" w:rsidP="00E90CFF">
      <w:pPr>
        <w:ind w:left="1440" w:right="720" w:hanging="360"/>
        <w:jc w:val="both"/>
        <w:rPr>
          <w:lang w:val="fr-FR"/>
        </w:rPr>
      </w:pPr>
    </w:p>
    <w:p w:rsidR="001D71AD" w:rsidRPr="00B9099B" w:rsidRDefault="001D71AD" w:rsidP="00BB13A1">
      <w:pPr>
        <w:numPr>
          <w:ilvl w:val="0"/>
          <w:numId w:val="4"/>
        </w:numPr>
        <w:ind w:left="1080" w:right="720" w:firstLine="0"/>
        <w:jc w:val="both"/>
        <w:rPr>
          <w:lang w:val="fr-FR"/>
        </w:rPr>
      </w:pPr>
      <w:r w:rsidRPr="00B9099B">
        <w:rPr>
          <w:lang w:val="fr-FR"/>
        </w:rPr>
        <w:t>Chacune de</w:t>
      </w:r>
      <w:r>
        <w:rPr>
          <w:lang w:val="fr-FR"/>
        </w:rPr>
        <w:t xml:space="preserve"> ce</w:t>
      </w:r>
      <w:r w:rsidRPr="00B9099B">
        <w:rPr>
          <w:lang w:val="fr-FR"/>
        </w:rPr>
        <w:t xml:space="preserve">s étapes </w:t>
      </w:r>
      <w:r>
        <w:rPr>
          <w:lang w:val="fr-FR"/>
        </w:rPr>
        <w:t>est</w:t>
      </w:r>
      <w:r w:rsidRPr="00B9099B">
        <w:rPr>
          <w:lang w:val="fr-FR"/>
        </w:rPr>
        <w:t xml:space="preserve"> examinée ci-dessous.</w:t>
      </w:r>
    </w:p>
    <w:p w:rsidR="001D71AD" w:rsidRPr="00B9099B" w:rsidRDefault="001D71AD" w:rsidP="00C26D87">
      <w:pPr>
        <w:ind w:left="1080" w:right="720"/>
        <w:jc w:val="both"/>
        <w:rPr>
          <w:lang w:val="fr-FR"/>
        </w:rPr>
      </w:pPr>
    </w:p>
    <w:p w:rsidR="001D71AD" w:rsidRPr="00445095" w:rsidRDefault="001D71AD" w:rsidP="00BB13A1">
      <w:pPr>
        <w:pStyle w:val="Heading3"/>
        <w:numPr>
          <w:ilvl w:val="0"/>
          <w:numId w:val="9"/>
        </w:numPr>
        <w:ind w:left="1440"/>
      </w:pPr>
      <w:r w:rsidRPr="00445095">
        <w:t>D</w:t>
      </w:r>
      <w:r w:rsidRPr="008F193F">
        <w:rPr>
          <w:lang w:val="fr-FR"/>
        </w:rPr>
        <w:t>é</w:t>
      </w:r>
      <w:r w:rsidRPr="00445095">
        <w:t>fin</w:t>
      </w:r>
      <w:r w:rsidRPr="005D6D7A">
        <w:rPr>
          <w:lang w:val="fr-FR"/>
        </w:rPr>
        <w:t>ir les indicateurs de besoin</w:t>
      </w:r>
    </w:p>
    <w:p w:rsidR="001D71AD" w:rsidRPr="005D6D7A" w:rsidRDefault="001D71AD" w:rsidP="00C26D87">
      <w:pPr>
        <w:ind w:left="1080" w:right="720"/>
        <w:jc w:val="both"/>
      </w:pPr>
    </w:p>
    <w:p w:rsidR="001D71AD" w:rsidRPr="005D6D7A" w:rsidRDefault="001D71AD" w:rsidP="00BB13A1">
      <w:pPr>
        <w:numPr>
          <w:ilvl w:val="0"/>
          <w:numId w:val="4"/>
        </w:numPr>
        <w:ind w:left="1080" w:right="720" w:firstLine="0"/>
        <w:jc w:val="both"/>
        <w:rPr>
          <w:lang w:val="fr-FR"/>
        </w:rPr>
      </w:pPr>
      <w:r w:rsidRPr="00B9099B">
        <w:rPr>
          <w:lang w:val="fr-FR"/>
        </w:rPr>
        <w:t xml:space="preserve">Les pays </w:t>
      </w:r>
      <w:r w:rsidRPr="00811D8C">
        <w:rPr>
          <w:lang w:val="fr-FR"/>
        </w:rPr>
        <w:footnoteReference w:id="5"/>
      </w:r>
      <w:r w:rsidRPr="00B9099B">
        <w:rPr>
          <w:lang w:val="fr-FR"/>
        </w:rPr>
        <w:t>dans lesquels l’UNFPA exerce ses activités ont tous besoin de l’appui de l’organisation ; il n’existe en fait aucun pays au monde qui ne se trouve pas confronté aux défis liés à la mise en œuvre de certains aspects du programme d’action de la CIPD.</w:t>
      </w:r>
      <w:r w:rsidRPr="003552C4">
        <w:rPr>
          <w:lang w:val="fr-FR"/>
        </w:rPr>
        <w:t>Il y a clairement néanmoins, de grosses différences entre les pays du monde lorsqu’il en vient à leur besoin d’aide de l’UNFPA : bien que la Norvège</w:t>
      </w:r>
      <w:r>
        <w:rPr>
          <w:lang w:val="fr-FR"/>
        </w:rPr>
        <w:t>,</w:t>
      </w:r>
      <w:r w:rsidRPr="003552C4">
        <w:rPr>
          <w:lang w:val="fr-FR"/>
        </w:rPr>
        <w:t xml:space="preserve"> en tête de l’indice du d</w:t>
      </w:r>
      <w:r>
        <w:rPr>
          <w:lang w:val="fr-FR"/>
        </w:rPr>
        <w:t>éveloppement humain et de l’indice d’inégalité entre les sexes ait très vraisemblablement des besoins liés à l’agenda de la CIPD, il ne fait aucun doute que l’</w:t>
      </w:r>
      <w:r w:rsidRPr="003552C4">
        <w:rPr>
          <w:lang w:val="fr-FR"/>
        </w:rPr>
        <w:t xml:space="preserve">UNFPA </w:t>
      </w:r>
      <w:r>
        <w:rPr>
          <w:lang w:val="fr-FR"/>
        </w:rPr>
        <w:t>peut avoir plus d’impact au Tchad qui a le taux de mortalité maternelle le plus élevé du monde et l’un des taux de prévalence de la contraception les plus bas. Cette conclusion conduit immédiatement à se demander de quelle manière l’</w:t>
      </w:r>
      <w:r w:rsidRPr="005D6D7A">
        <w:rPr>
          <w:lang w:val="fr-FR"/>
        </w:rPr>
        <w:t xml:space="preserve">UNFPA </w:t>
      </w:r>
      <w:r>
        <w:rPr>
          <w:lang w:val="fr-FR"/>
        </w:rPr>
        <w:t>peut évaluer les pays en vue de déterminer comment il peut le mieux parvenir à des résultats et faire progresser l’agenda de la CIPD</w:t>
      </w:r>
      <w:r w:rsidRPr="005D6D7A">
        <w:rPr>
          <w:lang w:val="fr-FR"/>
        </w:rPr>
        <w:t>.</w:t>
      </w:r>
    </w:p>
    <w:p w:rsidR="001D71AD" w:rsidRPr="005D6D7A" w:rsidRDefault="001D71AD" w:rsidP="00811D8C">
      <w:pPr>
        <w:ind w:left="1080" w:right="720"/>
        <w:jc w:val="both"/>
        <w:rPr>
          <w:lang w:val="fr-FR"/>
        </w:rPr>
      </w:pPr>
    </w:p>
    <w:p w:rsidR="001D71AD" w:rsidRPr="00811D8C" w:rsidRDefault="001D71AD" w:rsidP="00BB13A1">
      <w:pPr>
        <w:numPr>
          <w:ilvl w:val="0"/>
          <w:numId w:val="4"/>
        </w:numPr>
        <w:ind w:left="1080" w:right="720" w:firstLine="0"/>
        <w:jc w:val="both"/>
        <w:rPr>
          <w:lang w:val="fr-FR"/>
        </w:rPr>
      </w:pPr>
      <w:r w:rsidRPr="00863B3F">
        <w:rPr>
          <w:lang w:val="fr-FR"/>
        </w:rPr>
        <w:t>Plusieurs principes ont guid</w:t>
      </w:r>
      <w:r>
        <w:rPr>
          <w:lang w:val="fr-FR"/>
        </w:rPr>
        <w:t xml:space="preserve">é le </w:t>
      </w:r>
      <w:r w:rsidRPr="00863B3F">
        <w:rPr>
          <w:lang w:val="fr-FR"/>
        </w:rPr>
        <w:t>processus de s</w:t>
      </w:r>
      <w:r>
        <w:rPr>
          <w:lang w:val="fr-FR"/>
        </w:rPr>
        <w:t>é</w:t>
      </w:r>
      <w:r w:rsidRPr="00863B3F">
        <w:rPr>
          <w:lang w:val="fr-FR"/>
        </w:rPr>
        <w:t xml:space="preserve">lection d’indicateurs </w:t>
      </w:r>
      <w:r>
        <w:rPr>
          <w:lang w:val="fr-FR"/>
        </w:rPr>
        <w:t xml:space="preserve">de </w:t>
      </w:r>
      <w:r w:rsidRPr="00863B3F">
        <w:rPr>
          <w:lang w:val="fr-FR"/>
        </w:rPr>
        <w:t>mesure</w:t>
      </w:r>
      <w:r>
        <w:rPr>
          <w:lang w:val="fr-FR"/>
        </w:rPr>
        <w:t xml:space="preserve"> du besoin. </w:t>
      </w:r>
      <w:r w:rsidRPr="00811D8C">
        <w:rPr>
          <w:lang w:val="fr-FR"/>
        </w:rPr>
        <w:t xml:space="preserve">Pour en envisager l’inclusion, les indicateurs doivent : </w:t>
      </w:r>
    </w:p>
    <w:p w:rsidR="001D71AD" w:rsidRPr="00DC13D0" w:rsidRDefault="001D71AD" w:rsidP="00BB13A1">
      <w:pPr>
        <w:numPr>
          <w:ilvl w:val="0"/>
          <w:numId w:val="10"/>
        </w:numPr>
        <w:ind w:right="720"/>
        <w:jc w:val="both"/>
        <w:rPr>
          <w:lang w:val="fr-FR"/>
        </w:rPr>
      </w:pPr>
      <w:r w:rsidRPr="00DC13D0">
        <w:rPr>
          <w:lang w:val="fr-FR"/>
        </w:rPr>
        <w:t xml:space="preserve">Avoir un rapport direct avec la perspective stratégique de l’UNFPA </w:t>
      </w:r>
      <w:r>
        <w:rPr>
          <w:lang w:val="fr-FR"/>
        </w:rPr>
        <w:t xml:space="preserve">telle qu’elle </w:t>
      </w:r>
      <w:r w:rsidRPr="00DC13D0">
        <w:rPr>
          <w:lang w:val="fr-FR"/>
        </w:rPr>
        <w:t>appara</w:t>
      </w:r>
      <w:r>
        <w:rPr>
          <w:lang w:val="fr-FR"/>
        </w:rPr>
        <w:t>ît dans la cible</w:t>
      </w:r>
      <w:r w:rsidRPr="00DC13D0">
        <w:rPr>
          <w:lang w:val="fr-FR"/>
        </w:rPr>
        <w:t>;</w:t>
      </w:r>
    </w:p>
    <w:p w:rsidR="001D71AD" w:rsidRPr="00DC13D0" w:rsidRDefault="001D71AD" w:rsidP="00BB13A1">
      <w:pPr>
        <w:numPr>
          <w:ilvl w:val="0"/>
          <w:numId w:val="10"/>
        </w:numPr>
        <w:ind w:right="720"/>
        <w:jc w:val="both"/>
        <w:rPr>
          <w:lang w:val="fr-FR"/>
        </w:rPr>
      </w:pPr>
      <w:r w:rsidRPr="00DC13D0">
        <w:rPr>
          <w:lang w:val="fr-FR"/>
        </w:rPr>
        <w:t>Être émis par une source international crédible;</w:t>
      </w:r>
    </w:p>
    <w:p w:rsidR="001D71AD" w:rsidRPr="00DC13D0" w:rsidRDefault="001D71AD" w:rsidP="00BB13A1">
      <w:pPr>
        <w:numPr>
          <w:ilvl w:val="0"/>
          <w:numId w:val="10"/>
        </w:numPr>
        <w:ind w:right="720"/>
        <w:jc w:val="both"/>
        <w:rPr>
          <w:lang w:val="fr-FR"/>
        </w:rPr>
      </w:pPr>
      <w:r>
        <w:rPr>
          <w:lang w:val="fr-FR"/>
        </w:rPr>
        <w:t>Couvrir suffisamment l</w:t>
      </w:r>
      <w:r w:rsidRPr="00DC13D0">
        <w:rPr>
          <w:lang w:val="fr-FR"/>
        </w:rPr>
        <w:t xml:space="preserve">e pays et </w:t>
      </w:r>
    </w:p>
    <w:p w:rsidR="001D71AD" w:rsidRPr="00DC13D0" w:rsidRDefault="001D71AD" w:rsidP="00BB13A1">
      <w:pPr>
        <w:numPr>
          <w:ilvl w:val="0"/>
          <w:numId w:val="10"/>
        </w:numPr>
        <w:ind w:right="720"/>
        <w:jc w:val="both"/>
        <w:rPr>
          <w:lang w:val="fr-FR"/>
        </w:rPr>
      </w:pPr>
      <w:r w:rsidRPr="00DC13D0">
        <w:rPr>
          <w:lang w:val="fr-FR"/>
        </w:rPr>
        <w:t xml:space="preserve">Apporter une dimension unique au calcul des </w:t>
      </w:r>
      <w:r>
        <w:rPr>
          <w:lang w:val="fr-FR"/>
        </w:rPr>
        <w:t xml:space="preserve">besoins d’un pays </w:t>
      </w:r>
      <w:r w:rsidRPr="00DC13D0">
        <w:rPr>
          <w:lang w:val="fr-FR"/>
        </w:rPr>
        <w:t>(</w:t>
      </w:r>
      <w:r>
        <w:rPr>
          <w:lang w:val="fr-FR"/>
        </w:rPr>
        <w:t>autrement dit, ne pas faire double emploi avec un autre indicateur)</w:t>
      </w:r>
      <w:r w:rsidRPr="00DC13D0">
        <w:rPr>
          <w:lang w:val="fr-FR"/>
        </w:rPr>
        <w:t>.</w:t>
      </w:r>
    </w:p>
    <w:p w:rsidR="001D71AD" w:rsidRPr="00DC13D0" w:rsidRDefault="001D71AD" w:rsidP="00C26D87">
      <w:pPr>
        <w:ind w:left="1080" w:right="720"/>
        <w:jc w:val="both"/>
        <w:rPr>
          <w:lang w:val="fr-FR"/>
        </w:rPr>
      </w:pPr>
    </w:p>
    <w:p w:rsidR="001D71AD" w:rsidRPr="00BA74F4" w:rsidRDefault="001D71AD" w:rsidP="00BB13A1">
      <w:pPr>
        <w:numPr>
          <w:ilvl w:val="0"/>
          <w:numId w:val="4"/>
        </w:numPr>
        <w:tabs>
          <w:tab w:val="left" w:pos="1530"/>
        </w:tabs>
        <w:ind w:left="1080" w:right="720" w:firstLine="0"/>
        <w:jc w:val="both"/>
        <w:rPr>
          <w:lang w:val="fr-FR"/>
        </w:rPr>
      </w:pPr>
      <w:r>
        <w:rPr>
          <w:lang w:val="fr-FR"/>
        </w:rPr>
        <w:t>Un nombre d’</w:t>
      </w:r>
      <w:r w:rsidRPr="00BA74F4">
        <w:rPr>
          <w:lang w:val="fr-FR"/>
        </w:rPr>
        <w:t xml:space="preserve">indicateurs </w:t>
      </w:r>
      <w:r>
        <w:rPr>
          <w:lang w:val="fr-FR"/>
        </w:rPr>
        <w:t>ont</w:t>
      </w:r>
      <w:r w:rsidRPr="00BA74F4">
        <w:rPr>
          <w:lang w:val="fr-FR"/>
        </w:rPr>
        <w:t xml:space="preserve"> été examin</w:t>
      </w:r>
      <w:r>
        <w:rPr>
          <w:lang w:val="fr-FR"/>
        </w:rPr>
        <w:t>é</w:t>
      </w:r>
      <w:r w:rsidRPr="00BA74F4">
        <w:rPr>
          <w:lang w:val="fr-FR"/>
        </w:rPr>
        <w:t xml:space="preserve"> sur la base de ces critères, à commencer par l</w:t>
      </w:r>
      <w:r>
        <w:rPr>
          <w:lang w:val="fr-FR"/>
        </w:rPr>
        <w:t xml:space="preserve">’ensemble actuel de huit indicateurs SAR et en fin de compte, un ensemble de six indicateurs a été identifié. </w:t>
      </w:r>
      <w:r w:rsidRPr="00BA74F4">
        <w:rPr>
          <w:lang w:val="fr-FR"/>
        </w:rPr>
        <w:t>Les nouveaux indicateurs sont représentés à la figure 4 ainsi qu’une descri</w:t>
      </w:r>
      <w:r>
        <w:rPr>
          <w:lang w:val="fr-FR"/>
        </w:rPr>
        <w:t>p</w:t>
      </w:r>
      <w:r w:rsidRPr="00BA74F4">
        <w:rPr>
          <w:lang w:val="fr-FR"/>
        </w:rPr>
        <w:t>tion des changements par rapport à l</w:t>
      </w:r>
      <w:r>
        <w:rPr>
          <w:lang w:val="fr-FR"/>
        </w:rPr>
        <w:t xml:space="preserve">’ensemble d’indicateurs de 2007. </w:t>
      </w:r>
    </w:p>
    <w:p w:rsidR="001D71AD" w:rsidRPr="00BA74F4" w:rsidRDefault="001D71AD" w:rsidP="00BD1DC5">
      <w:pPr>
        <w:ind w:left="1890" w:right="720"/>
        <w:jc w:val="both"/>
        <w:rPr>
          <w:lang w:val="fr-FR"/>
        </w:rPr>
      </w:pPr>
    </w:p>
    <w:p w:rsidR="001D71AD" w:rsidRPr="00BA74F4" w:rsidRDefault="001D71AD" w:rsidP="00C26D87">
      <w:pPr>
        <w:keepNext/>
        <w:ind w:left="1080" w:right="720"/>
        <w:jc w:val="both"/>
        <w:rPr>
          <w:lang w:val="fr-FR"/>
        </w:rPr>
      </w:pPr>
      <w:r w:rsidRPr="00BA74F4">
        <w:rPr>
          <w:b/>
          <w:lang w:val="fr-FR"/>
        </w:rPr>
        <w:t xml:space="preserve">Figure 4: Nouveaux indicateurs SAR avec description des changements par rapport aux indicateurs actuels </w:t>
      </w:r>
    </w:p>
    <w:p w:rsidR="001D71AD" w:rsidRPr="00445095" w:rsidRDefault="00675BF5" w:rsidP="00C26D87">
      <w:pPr>
        <w:ind w:left="1080" w:right="720"/>
        <w:jc w:val="both"/>
        <w:rPr>
          <w:lang w:val="en-US"/>
        </w:rPr>
      </w:pPr>
      <w:r>
        <w:rPr>
          <w:noProof/>
          <w:lang w:val="en-US"/>
        </w:rPr>
        <w:drawing>
          <wp:inline distT="0" distB="0" distL="0" distR="0">
            <wp:extent cx="4724400" cy="2038350"/>
            <wp:effectExtent l="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038350"/>
                    </a:xfrm>
                    <a:prstGeom prst="rect">
                      <a:avLst/>
                    </a:prstGeom>
                    <a:noFill/>
                    <a:ln>
                      <a:noFill/>
                    </a:ln>
                  </pic:spPr>
                </pic:pic>
              </a:graphicData>
            </a:graphic>
          </wp:inline>
        </w:drawing>
      </w:r>
    </w:p>
    <w:p w:rsidR="001D71AD" w:rsidRDefault="001D71AD" w:rsidP="00C26D87">
      <w:pPr>
        <w:ind w:left="1080" w:right="720"/>
        <w:jc w:val="both"/>
        <w:rPr>
          <w:lang w:val="en-US"/>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8"/>
        <w:gridCol w:w="1980"/>
        <w:gridCol w:w="3618"/>
      </w:tblGrid>
      <w:tr w:rsidR="001D71AD" w:rsidRPr="00AE3D84" w:rsidTr="00FD64DE">
        <w:tc>
          <w:tcPr>
            <w:tcW w:w="2898" w:type="dxa"/>
          </w:tcPr>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Indicateurs SAR actuels</w:t>
            </w:r>
          </w:p>
          <w:p w:rsidR="001D71AD" w:rsidRPr="00AE3D84" w:rsidRDefault="001D71AD" w:rsidP="00FD64DE">
            <w:pPr>
              <w:ind w:right="720"/>
              <w:jc w:val="center"/>
              <w:rPr>
                <w:rFonts w:ascii="Calibri" w:hAnsi="Calibri"/>
                <w:sz w:val="18"/>
                <w:szCs w:val="18"/>
                <w:lang w:val="fr-CA"/>
              </w:rPr>
            </w:pP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 xml:space="preserve">Proportion d’accouchements </w:t>
            </w:r>
            <w:r>
              <w:rPr>
                <w:sz w:val="18"/>
                <w:szCs w:val="18"/>
                <w:lang w:val="fr-CA"/>
              </w:rPr>
              <w:t>en présence de</w:t>
            </w:r>
            <w:r w:rsidRPr="00AE3D84">
              <w:rPr>
                <w:sz w:val="18"/>
                <w:szCs w:val="18"/>
                <w:lang w:val="fr-CA"/>
              </w:rPr>
              <w:t xml:space="preserve"> personnel médical qualifié </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Taux de mortalité maternelle</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Taux de fertilité des adolescentes</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 xml:space="preserve">Taux de prévalence de la contraception (méthodes modernes uniquement) </w:t>
            </w:r>
          </w:p>
          <w:p w:rsidR="001D71AD" w:rsidRPr="00AE3D84" w:rsidRDefault="001D71AD" w:rsidP="00BB13A1">
            <w:pPr>
              <w:pStyle w:val="NoSpacing"/>
              <w:numPr>
                <w:ilvl w:val="0"/>
                <w:numId w:val="34"/>
              </w:numPr>
              <w:ind w:left="180" w:hanging="180"/>
              <w:rPr>
                <w:sz w:val="18"/>
                <w:szCs w:val="18"/>
                <w:lang w:val="fr-CA"/>
              </w:rPr>
            </w:pPr>
            <w:r w:rsidRPr="00AE3D84">
              <w:rPr>
                <w:sz w:val="18"/>
                <w:szCs w:val="18"/>
                <w:lang w:val="fr-CA"/>
              </w:rPr>
              <w:t>Prévalence du VIH chez les adultes</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Taux de mortalité des moins de cinq ans</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Taux d’alphabétisation parmi les filles femmes âgées de 15 à 24 ans</w:t>
            </w:r>
          </w:p>
          <w:p w:rsidR="001D71AD" w:rsidRPr="00AE3D84" w:rsidRDefault="001D71AD" w:rsidP="00BB13A1">
            <w:pPr>
              <w:pStyle w:val="NoSpacing"/>
              <w:numPr>
                <w:ilvl w:val="0"/>
                <w:numId w:val="32"/>
              </w:numPr>
              <w:ind w:left="180" w:hanging="180"/>
              <w:rPr>
                <w:sz w:val="18"/>
                <w:szCs w:val="18"/>
                <w:lang w:val="fr-CA"/>
              </w:rPr>
            </w:pPr>
            <w:r w:rsidRPr="00AE3D84">
              <w:rPr>
                <w:sz w:val="18"/>
                <w:szCs w:val="18"/>
                <w:lang w:val="fr-CA"/>
              </w:rPr>
              <w:t>Proportion de la population âgée de 10 à 24 ans.</w:t>
            </w:r>
          </w:p>
        </w:tc>
        <w:tc>
          <w:tcPr>
            <w:tcW w:w="1980" w:type="dxa"/>
          </w:tcPr>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Modifier</w:t>
            </w: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Conserver</w:t>
            </w:r>
          </w:p>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Conserver</w:t>
            </w: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Modifier</w:t>
            </w: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ind w:right="720"/>
              <w:jc w:val="center"/>
              <w:rPr>
                <w:rFonts w:ascii="Calibri" w:hAnsi="Calibri"/>
                <w:sz w:val="18"/>
                <w:szCs w:val="18"/>
                <w:lang w:val="fr-CA"/>
              </w:rPr>
            </w:pPr>
            <w:r w:rsidRPr="00AE3D84">
              <w:rPr>
                <w:rFonts w:ascii="Calibri" w:hAnsi="Calibri"/>
                <w:sz w:val="18"/>
                <w:szCs w:val="18"/>
                <w:lang w:val="fr-CA"/>
              </w:rPr>
              <w:t>Modifier</w:t>
            </w:r>
          </w:p>
          <w:p w:rsidR="001D71AD" w:rsidRPr="00AE3D84" w:rsidRDefault="001D71AD" w:rsidP="00FD64DE">
            <w:pPr>
              <w:ind w:right="720"/>
              <w:jc w:val="center"/>
              <w:rPr>
                <w:rFonts w:ascii="Calibri" w:hAnsi="Calibri"/>
                <w:sz w:val="18"/>
                <w:szCs w:val="18"/>
                <w:lang w:val="fr-CA"/>
              </w:rPr>
            </w:pPr>
          </w:p>
          <w:p w:rsidR="001D71AD" w:rsidRPr="00AE3D84" w:rsidRDefault="001D71AD" w:rsidP="00FD64DE">
            <w:pPr>
              <w:tabs>
                <w:tab w:val="left" w:pos="2180"/>
              </w:tabs>
              <w:ind w:right="-18"/>
              <w:rPr>
                <w:rFonts w:ascii="Calibri" w:hAnsi="Calibri"/>
                <w:sz w:val="18"/>
                <w:szCs w:val="18"/>
                <w:lang w:val="fr-CA"/>
              </w:rPr>
            </w:pPr>
            <w:r w:rsidRPr="00AE3D84">
              <w:rPr>
                <w:rFonts w:ascii="Calibri" w:hAnsi="Calibri"/>
                <w:sz w:val="18"/>
                <w:szCs w:val="18"/>
                <w:lang w:val="fr-CA"/>
              </w:rPr>
              <w:t>AbandonnerAjouter</w:t>
            </w:r>
          </w:p>
          <w:p w:rsidR="001D71AD" w:rsidRPr="00AE3D84" w:rsidRDefault="001D71AD" w:rsidP="00FD64DE">
            <w:pPr>
              <w:tabs>
                <w:tab w:val="left" w:pos="2180"/>
              </w:tabs>
              <w:ind w:right="-18"/>
              <w:rPr>
                <w:rFonts w:ascii="Calibri" w:hAnsi="Calibri"/>
                <w:sz w:val="18"/>
                <w:szCs w:val="18"/>
                <w:lang w:val="fr-CA"/>
              </w:rPr>
            </w:pPr>
          </w:p>
          <w:p w:rsidR="001D71AD" w:rsidRPr="00AE3D84" w:rsidRDefault="001D71AD" w:rsidP="00FD64DE">
            <w:pPr>
              <w:tabs>
                <w:tab w:val="left" w:pos="2180"/>
              </w:tabs>
              <w:ind w:right="-18"/>
              <w:rPr>
                <w:rFonts w:ascii="Calibri" w:hAnsi="Calibri"/>
                <w:sz w:val="18"/>
                <w:szCs w:val="18"/>
                <w:lang w:val="fr-CA"/>
              </w:rPr>
            </w:pPr>
          </w:p>
          <w:p w:rsidR="001D71AD" w:rsidRPr="00AE3D84" w:rsidRDefault="001D71AD" w:rsidP="00FD64DE">
            <w:pPr>
              <w:tabs>
                <w:tab w:val="left" w:pos="2180"/>
              </w:tabs>
              <w:ind w:right="-18"/>
              <w:rPr>
                <w:rFonts w:ascii="Calibri" w:hAnsi="Calibri"/>
                <w:sz w:val="18"/>
                <w:szCs w:val="18"/>
                <w:lang w:val="fr-CA"/>
              </w:rPr>
            </w:pPr>
            <w:r w:rsidRPr="00AE3D84">
              <w:rPr>
                <w:rFonts w:ascii="Calibri" w:hAnsi="Calibri"/>
                <w:sz w:val="18"/>
                <w:szCs w:val="18"/>
                <w:lang w:val="fr-CA"/>
              </w:rPr>
              <w:t>Abandonner</w:t>
            </w:r>
          </w:p>
          <w:p w:rsidR="001D71AD" w:rsidRPr="00AE3D84" w:rsidRDefault="001D71AD" w:rsidP="00FD64DE">
            <w:pPr>
              <w:tabs>
                <w:tab w:val="left" w:pos="2180"/>
              </w:tabs>
              <w:ind w:right="-18"/>
              <w:rPr>
                <w:rFonts w:ascii="Calibri" w:hAnsi="Calibri"/>
                <w:sz w:val="18"/>
                <w:szCs w:val="18"/>
                <w:lang w:val="fr-CA"/>
              </w:rPr>
            </w:pPr>
          </w:p>
          <w:p w:rsidR="001D71AD" w:rsidRPr="00AE3D84" w:rsidRDefault="001D71AD" w:rsidP="00FD64DE">
            <w:pPr>
              <w:tabs>
                <w:tab w:val="left" w:pos="2180"/>
              </w:tabs>
              <w:ind w:right="-18"/>
              <w:rPr>
                <w:rFonts w:ascii="Calibri" w:hAnsi="Calibri"/>
                <w:sz w:val="18"/>
                <w:szCs w:val="18"/>
                <w:lang w:val="fr-CA"/>
              </w:rPr>
            </w:pPr>
          </w:p>
          <w:p w:rsidR="001D71AD" w:rsidRPr="00AE3D84" w:rsidRDefault="001D71AD" w:rsidP="00FD64DE">
            <w:pPr>
              <w:tabs>
                <w:tab w:val="left" w:pos="2180"/>
              </w:tabs>
              <w:ind w:right="-18"/>
              <w:rPr>
                <w:rFonts w:ascii="Calibri" w:hAnsi="Calibri"/>
                <w:lang w:val="fr-CA"/>
              </w:rPr>
            </w:pPr>
            <w:r w:rsidRPr="00AE3D84">
              <w:rPr>
                <w:rFonts w:ascii="Calibri" w:hAnsi="Calibri"/>
                <w:sz w:val="18"/>
                <w:szCs w:val="18"/>
                <w:lang w:val="fr-CA"/>
              </w:rPr>
              <w:t>Abandonner</w:t>
            </w:r>
          </w:p>
        </w:tc>
        <w:tc>
          <w:tcPr>
            <w:tcW w:w="3618" w:type="dxa"/>
          </w:tcPr>
          <w:p w:rsidR="001D71AD" w:rsidRPr="00AE3D84" w:rsidRDefault="001D71AD" w:rsidP="00F16DB4">
            <w:pPr>
              <w:rPr>
                <w:rFonts w:ascii="Calibri" w:hAnsi="Calibri"/>
                <w:sz w:val="18"/>
                <w:szCs w:val="18"/>
                <w:lang w:val="fr-CA"/>
              </w:rPr>
            </w:pPr>
            <w:r w:rsidRPr="00AE3D84">
              <w:rPr>
                <w:rFonts w:ascii="Calibri" w:hAnsi="Calibri"/>
                <w:sz w:val="18"/>
                <w:szCs w:val="18"/>
                <w:lang w:val="fr-CA"/>
              </w:rPr>
              <w:t xml:space="preserve">      Nouveaux indicateurs SAR proposés</w:t>
            </w:r>
          </w:p>
          <w:p w:rsidR="001D71AD" w:rsidRPr="00AE3D84" w:rsidRDefault="001D71AD" w:rsidP="00F16DB4">
            <w:pPr>
              <w:rPr>
                <w:rFonts w:ascii="Calibri" w:hAnsi="Calibri"/>
                <w:sz w:val="18"/>
                <w:szCs w:val="18"/>
                <w:lang w:val="fr-CA"/>
              </w:rPr>
            </w:pPr>
          </w:p>
          <w:p w:rsidR="001D71AD" w:rsidRPr="00AE3D84" w:rsidRDefault="001D71AD" w:rsidP="00BB13A1">
            <w:pPr>
              <w:numPr>
                <w:ilvl w:val="0"/>
                <w:numId w:val="33"/>
              </w:numPr>
              <w:ind w:left="162" w:hanging="162"/>
              <w:rPr>
                <w:rFonts w:ascii="Calibri" w:hAnsi="Calibri"/>
                <w:sz w:val="18"/>
                <w:szCs w:val="18"/>
                <w:lang w:val="fr-CA"/>
              </w:rPr>
            </w:pPr>
            <w:r w:rsidRPr="00AE3D84">
              <w:rPr>
                <w:rFonts w:ascii="Calibri" w:hAnsi="Calibri"/>
                <w:sz w:val="18"/>
                <w:szCs w:val="18"/>
                <w:lang w:val="fr-CA"/>
              </w:rPr>
              <w:t xml:space="preserve">Proportion d’accouchements </w:t>
            </w:r>
            <w:r>
              <w:rPr>
                <w:rFonts w:ascii="Calibri" w:hAnsi="Calibri"/>
                <w:sz w:val="18"/>
                <w:szCs w:val="18"/>
                <w:lang w:val="fr-CA"/>
              </w:rPr>
              <w:t>en présence de</w:t>
            </w:r>
            <w:r w:rsidRPr="00AE3D84">
              <w:rPr>
                <w:rFonts w:ascii="Calibri" w:hAnsi="Calibri"/>
                <w:sz w:val="18"/>
                <w:szCs w:val="18"/>
                <w:lang w:val="fr-CA"/>
              </w:rPr>
              <w:t xml:space="preserve"> personnel médical qualifié pour le quintile le plus pauvre de la population</w:t>
            </w:r>
          </w:p>
          <w:p w:rsidR="001D71AD" w:rsidRPr="00AE3D84" w:rsidRDefault="001D71AD" w:rsidP="00BB13A1">
            <w:pPr>
              <w:numPr>
                <w:ilvl w:val="0"/>
                <w:numId w:val="33"/>
              </w:numPr>
              <w:ind w:left="162" w:hanging="162"/>
              <w:rPr>
                <w:rFonts w:ascii="Calibri" w:hAnsi="Calibri"/>
                <w:sz w:val="18"/>
                <w:szCs w:val="18"/>
                <w:lang w:val="fr-CA"/>
              </w:rPr>
            </w:pPr>
            <w:r w:rsidRPr="00AE3D84">
              <w:rPr>
                <w:rFonts w:ascii="Calibri" w:hAnsi="Calibri"/>
                <w:sz w:val="18"/>
                <w:szCs w:val="18"/>
                <w:lang w:val="fr-CA"/>
              </w:rPr>
              <w:t>Taux de mortalité maternelle</w:t>
            </w:r>
          </w:p>
          <w:p w:rsidR="001D71AD" w:rsidRPr="00AE3D84" w:rsidRDefault="001D71AD" w:rsidP="00BB13A1">
            <w:pPr>
              <w:pStyle w:val="NoSpacing"/>
              <w:numPr>
                <w:ilvl w:val="0"/>
                <w:numId w:val="33"/>
              </w:numPr>
              <w:ind w:left="162" w:hanging="162"/>
              <w:rPr>
                <w:sz w:val="18"/>
                <w:szCs w:val="18"/>
                <w:lang w:val="fr-CA"/>
              </w:rPr>
            </w:pPr>
            <w:r w:rsidRPr="00AE3D84">
              <w:rPr>
                <w:sz w:val="18"/>
                <w:szCs w:val="18"/>
                <w:lang w:val="fr-CA"/>
              </w:rPr>
              <w:t>Taux de fertilité des adolescentes</w:t>
            </w:r>
          </w:p>
          <w:p w:rsidR="001D71AD" w:rsidRPr="00AE3D84" w:rsidRDefault="001D71AD" w:rsidP="00BB13A1">
            <w:pPr>
              <w:numPr>
                <w:ilvl w:val="0"/>
                <w:numId w:val="33"/>
              </w:numPr>
              <w:ind w:left="162" w:hanging="162"/>
              <w:rPr>
                <w:rFonts w:ascii="Calibri" w:hAnsi="Calibri"/>
                <w:sz w:val="18"/>
                <w:szCs w:val="18"/>
                <w:lang w:val="fr-CA"/>
              </w:rPr>
            </w:pPr>
            <w:r w:rsidRPr="00AE3D84">
              <w:rPr>
                <w:rFonts w:ascii="Calibri" w:hAnsi="Calibri"/>
                <w:sz w:val="18"/>
                <w:szCs w:val="18"/>
                <w:lang w:val="fr-CA"/>
              </w:rPr>
              <w:t>Proportion de demande de contraception moderne satisfaite (PDS)</w:t>
            </w:r>
          </w:p>
          <w:p w:rsidR="001D71AD" w:rsidRPr="00AE3D84" w:rsidRDefault="001D71AD" w:rsidP="00FD64DE">
            <w:pPr>
              <w:ind w:left="162"/>
              <w:rPr>
                <w:rFonts w:ascii="Calibri" w:hAnsi="Calibri"/>
                <w:sz w:val="18"/>
                <w:szCs w:val="18"/>
                <w:lang w:val="fr-CA"/>
              </w:rPr>
            </w:pPr>
          </w:p>
          <w:p w:rsidR="001D71AD" w:rsidRPr="00AE3D84" w:rsidRDefault="001D71AD" w:rsidP="00BB13A1">
            <w:pPr>
              <w:numPr>
                <w:ilvl w:val="0"/>
                <w:numId w:val="33"/>
              </w:numPr>
              <w:ind w:left="162" w:hanging="162"/>
              <w:rPr>
                <w:rFonts w:ascii="Calibri" w:hAnsi="Calibri"/>
                <w:sz w:val="18"/>
                <w:szCs w:val="18"/>
                <w:lang w:val="fr-CA"/>
              </w:rPr>
            </w:pPr>
            <w:r w:rsidRPr="00AE3D84">
              <w:rPr>
                <w:rFonts w:ascii="Calibri" w:hAnsi="Calibri"/>
                <w:sz w:val="18"/>
                <w:szCs w:val="18"/>
                <w:lang w:val="fr-CA"/>
              </w:rPr>
              <w:t>Prévalence de VIH chez les 15-24 ans</w:t>
            </w:r>
          </w:p>
          <w:p w:rsidR="001D71AD" w:rsidRPr="00AE3D84" w:rsidRDefault="001D71AD" w:rsidP="00281394">
            <w:pPr>
              <w:rPr>
                <w:rFonts w:ascii="Calibri" w:hAnsi="Calibri"/>
                <w:sz w:val="18"/>
                <w:szCs w:val="18"/>
                <w:lang w:val="fr-CA"/>
              </w:rPr>
            </w:pPr>
          </w:p>
          <w:p w:rsidR="001D71AD" w:rsidRPr="00AE3D84" w:rsidRDefault="001D71AD" w:rsidP="00BB13A1">
            <w:pPr>
              <w:numPr>
                <w:ilvl w:val="0"/>
                <w:numId w:val="33"/>
              </w:numPr>
              <w:ind w:left="162" w:hanging="162"/>
              <w:rPr>
                <w:rFonts w:ascii="Calibri" w:hAnsi="Calibri"/>
                <w:sz w:val="18"/>
                <w:szCs w:val="18"/>
                <w:lang w:val="fr-CA"/>
              </w:rPr>
            </w:pPr>
            <w:r w:rsidRPr="00AE3D84">
              <w:rPr>
                <w:rFonts w:ascii="Calibri" w:hAnsi="Calibri"/>
                <w:sz w:val="18"/>
                <w:szCs w:val="18"/>
                <w:lang w:val="fr-CA"/>
              </w:rPr>
              <w:t>Index d’inégalité des sexes</w:t>
            </w:r>
          </w:p>
        </w:tc>
      </w:tr>
    </w:tbl>
    <w:p w:rsidR="001D71AD" w:rsidRPr="00AE3D84" w:rsidRDefault="001D71AD" w:rsidP="00C26D87">
      <w:pPr>
        <w:ind w:left="1080" w:right="720"/>
        <w:jc w:val="both"/>
        <w:rPr>
          <w:lang w:val="fr-CA"/>
        </w:rPr>
      </w:pPr>
    </w:p>
    <w:p w:rsidR="001D71AD" w:rsidRPr="00656F4F" w:rsidRDefault="001D71AD" w:rsidP="00C26D87">
      <w:pPr>
        <w:ind w:left="1080" w:right="720"/>
        <w:jc w:val="both"/>
        <w:rPr>
          <w:lang w:val="fr-FR"/>
        </w:rPr>
      </w:pPr>
    </w:p>
    <w:p w:rsidR="001D71AD" w:rsidRPr="00281394" w:rsidRDefault="001D71AD" w:rsidP="00BB13A1">
      <w:pPr>
        <w:numPr>
          <w:ilvl w:val="0"/>
          <w:numId w:val="4"/>
        </w:numPr>
        <w:tabs>
          <w:tab w:val="left" w:pos="1530"/>
        </w:tabs>
        <w:ind w:left="1080" w:right="720" w:firstLine="0"/>
        <w:jc w:val="both"/>
        <w:rPr>
          <w:lang w:val="fr-FR"/>
        </w:rPr>
      </w:pPr>
      <w:r w:rsidRPr="00281394">
        <w:rPr>
          <w:lang w:val="fr-FR"/>
        </w:rPr>
        <w:lastRenderedPageBreak/>
        <w:t xml:space="preserve">En résumé, deux indicateurs de l’actuel SAR ont été </w:t>
      </w:r>
      <w:r>
        <w:rPr>
          <w:lang w:val="fr-FR"/>
        </w:rPr>
        <w:t>conservé</w:t>
      </w:r>
      <w:r w:rsidRPr="00281394">
        <w:rPr>
          <w:lang w:val="fr-FR"/>
        </w:rPr>
        <w:t>s tels quels, trois ont été modifiés et trois ont été abandonnés tandis qu</w:t>
      </w:r>
      <w:r>
        <w:rPr>
          <w:lang w:val="fr-FR"/>
        </w:rPr>
        <w:t>’un nouvel indicateur a été ajouté. Les motifs de ces modifications sont les suivants</w:t>
      </w:r>
      <w:r w:rsidRPr="00281394">
        <w:rPr>
          <w:lang w:val="fr-FR"/>
        </w:rPr>
        <w:t>:</w:t>
      </w:r>
    </w:p>
    <w:p w:rsidR="001D71AD" w:rsidRPr="00281394" w:rsidRDefault="001D71AD" w:rsidP="00BB13A1">
      <w:pPr>
        <w:numPr>
          <w:ilvl w:val="0"/>
          <w:numId w:val="11"/>
        </w:numPr>
        <w:ind w:right="720"/>
        <w:jc w:val="both"/>
        <w:rPr>
          <w:lang w:val="fr-FR"/>
        </w:rPr>
      </w:pPr>
      <w:r>
        <w:rPr>
          <w:lang w:val="fr-FR"/>
        </w:rPr>
        <w:t xml:space="preserve">Modifications </w:t>
      </w:r>
      <w:r w:rsidRPr="00281394">
        <w:rPr>
          <w:lang w:val="fr-FR"/>
        </w:rPr>
        <w:t>:</w:t>
      </w:r>
    </w:p>
    <w:p w:rsidR="001D71AD" w:rsidRPr="00412E54" w:rsidRDefault="001D71AD" w:rsidP="00BB13A1">
      <w:pPr>
        <w:numPr>
          <w:ilvl w:val="1"/>
          <w:numId w:val="11"/>
        </w:numPr>
        <w:ind w:right="720"/>
        <w:jc w:val="both"/>
        <w:rPr>
          <w:lang w:val="fr-FR"/>
        </w:rPr>
      </w:pPr>
      <w:r w:rsidRPr="00F13CB6">
        <w:rPr>
          <w:u w:val="single"/>
          <w:lang w:val="fr-FR"/>
        </w:rPr>
        <w:t>Proportion d’accouchements assistés par du personnel de santé qualifié (modifié pour faire porter l’attention sur le quintile le plus pauvre de la population)</w:t>
      </w:r>
      <w:r w:rsidRPr="00F13CB6">
        <w:rPr>
          <w:lang w:val="fr-FR"/>
        </w:rPr>
        <w:t xml:space="preserve">: </w:t>
      </w:r>
      <w:r>
        <w:rPr>
          <w:lang w:val="fr-FR"/>
        </w:rPr>
        <w:t>cet indicateur sera encore utilisé mais l’attention sera portée sur le quintile le plus pauvre de la population au lieu de la totalité de la population pour refléter les inégalités au sein d’un pays et le fait que l’</w:t>
      </w:r>
      <w:r w:rsidRPr="00F13CB6">
        <w:rPr>
          <w:lang w:val="fr-FR"/>
        </w:rPr>
        <w:t xml:space="preserve">UNFPA </w:t>
      </w:r>
      <w:r>
        <w:rPr>
          <w:lang w:val="fr-FR"/>
        </w:rPr>
        <w:t xml:space="preserve">concentre ses efforts sur les plus démunis et les plus vulnérables. </w:t>
      </w:r>
      <w:r w:rsidRPr="006E6A53">
        <w:rPr>
          <w:lang w:val="fr-FR"/>
        </w:rPr>
        <w:t xml:space="preserve">Les données indiquent clairement que les résultats moyens </w:t>
      </w:r>
      <w:r>
        <w:rPr>
          <w:lang w:val="fr-FR"/>
        </w:rPr>
        <w:t xml:space="preserve">déduits d’indicateurs calculés au niveau du pays dissimulent d’importants écarts entre les groupes. </w:t>
      </w:r>
      <w:r w:rsidRPr="00B777E5">
        <w:rPr>
          <w:lang w:val="fr-FR"/>
        </w:rPr>
        <w:t>Une étude récente publiée par le Lancet,</w:t>
      </w:r>
      <w:r w:rsidRPr="00C26D87">
        <w:rPr>
          <w:vertAlign w:val="superscript"/>
          <w:lang w:val="en-US"/>
        </w:rPr>
        <w:footnoteReference w:id="6"/>
      </w:r>
      <w:r w:rsidRPr="00B777E5">
        <w:rPr>
          <w:lang w:val="fr-FR"/>
        </w:rPr>
        <w:t xml:space="preserve">par exemple, stratifie les résultats concernant la santé de la </w:t>
      </w:r>
      <w:r>
        <w:rPr>
          <w:lang w:val="fr-FR"/>
        </w:rPr>
        <w:t>mè</w:t>
      </w:r>
      <w:r w:rsidRPr="00B777E5">
        <w:rPr>
          <w:lang w:val="fr-FR"/>
        </w:rPr>
        <w:t>re et de l</w:t>
      </w:r>
      <w:r>
        <w:rPr>
          <w:lang w:val="fr-FR"/>
        </w:rPr>
        <w:t xml:space="preserve">’enfant par quintiles de richesse et constate que « les pays à niveaux comparables de couverture globale avaient souvent des résultats très différents concernant l’équité. » </w:t>
      </w:r>
      <w:r w:rsidRPr="00C837AE">
        <w:rPr>
          <w:lang w:val="fr-FR"/>
        </w:rPr>
        <w:t>Étant donné que l’UNFPA est déterminé à concentrer ses efforts sur les plus vulnérables, le nouveau SAR devrait dans l</w:t>
      </w:r>
      <w:r>
        <w:rPr>
          <w:lang w:val="fr-FR"/>
        </w:rPr>
        <w:t>’idéal, utiliser des indicateurs qui reflètent l’état épidémiologique des déshérités ainsi que toutes les dimensions du besoin mais les données sont insuffisantes pour ce faire.</w:t>
      </w:r>
      <w:r w:rsidRPr="00C837AE">
        <w:rPr>
          <w:lang w:val="fr-FR"/>
        </w:rPr>
        <w:t xml:space="preserve">Des données </w:t>
      </w:r>
      <w:r>
        <w:rPr>
          <w:lang w:val="fr-FR"/>
        </w:rPr>
        <w:t xml:space="preserve">étant cependant </w:t>
      </w:r>
      <w:r w:rsidRPr="00C837AE">
        <w:rPr>
          <w:lang w:val="fr-FR"/>
        </w:rPr>
        <w:t>disponibles pour la proportion d’accouchements assistés par du personnel m</w:t>
      </w:r>
      <w:r>
        <w:rPr>
          <w:lang w:val="fr-FR"/>
        </w:rPr>
        <w:t xml:space="preserve">édical qualifié, elles sont utilisées dans le SAR. </w:t>
      </w:r>
      <w:r w:rsidRPr="00412E54">
        <w:rPr>
          <w:lang w:val="fr-FR"/>
        </w:rPr>
        <w:t xml:space="preserve">Cela est particulièrement important pour cet indicateur car le même article du Lancet a constaté que les écarts par quintile de fortune </w:t>
      </w:r>
      <w:r>
        <w:rPr>
          <w:lang w:val="fr-FR"/>
        </w:rPr>
        <w:t xml:space="preserve">étaient plus significatifs pour cet indicateur que pour n’importe lequel des onze autres indicateurs étudiés </w:t>
      </w:r>
      <w:r w:rsidRPr="00412E54">
        <w:rPr>
          <w:lang w:val="fr-FR"/>
        </w:rPr>
        <w:t>;</w:t>
      </w:r>
    </w:p>
    <w:p w:rsidR="001D71AD" w:rsidRPr="00412E54" w:rsidRDefault="001D71AD" w:rsidP="00BB13A1">
      <w:pPr>
        <w:numPr>
          <w:ilvl w:val="1"/>
          <w:numId w:val="11"/>
        </w:numPr>
        <w:ind w:right="720"/>
        <w:jc w:val="both"/>
        <w:rPr>
          <w:lang w:val="fr-FR"/>
        </w:rPr>
      </w:pPr>
      <w:r w:rsidRPr="00412E54">
        <w:rPr>
          <w:u w:val="single"/>
          <w:lang w:val="fr-FR"/>
        </w:rPr>
        <w:t xml:space="preserve">Taux de prévalence de contraception modifié </w:t>
      </w:r>
      <w:r>
        <w:rPr>
          <w:u w:val="single"/>
          <w:lang w:val="fr-FR"/>
        </w:rPr>
        <w:t xml:space="preserve">pour adopter </w:t>
      </w:r>
      <w:r w:rsidRPr="00412E54">
        <w:rPr>
          <w:u w:val="single"/>
          <w:lang w:val="fr-FR"/>
        </w:rPr>
        <w:t>proportion de demande de contraception modern satisfaite</w:t>
      </w:r>
      <w:r w:rsidRPr="00B706CF">
        <w:rPr>
          <w:lang w:val="fr-FR"/>
        </w:rPr>
        <w:t xml:space="preserve"> : </w:t>
      </w:r>
      <w:r w:rsidRPr="00412E54">
        <w:rPr>
          <w:lang w:val="fr-FR"/>
        </w:rPr>
        <w:t>proportion de demande de contraception satisfaite (PDS) est préféré à taux de prévalence de contraception (TPC) car  PDS a plus de sens et est plus facile à interpr</w:t>
      </w:r>
      <w:r>
        <w:rPr>
          <w:lang w:val="fr-FR"/>
        </w:rPr>
        <w:t xml:space="preserve">éter : il associe le TPC et le taux de besoin de planification familiale non satisfait dans un chiffre unique qui donne une image plus complète de la dynamique contraceptive dans une société et il remédie aussi à une faiblesse du TPC qui est difficile à interpréter en raison de l’absence de maximum empirique bien défini (à la différence du PDS qui peut atteindre </w:t>
      </w:r>
      <w:r w:rsidRPr="00412E54">
        <w:rPr>
          <w:lang w:val="fr-FR"/>
        </w:rPr>
        <w:t>100%);</w:t>
      </w:r>
    </w:p>
    <w:p w:rsidR="001D71AD" w:rsidRPr="006C774F" w:rsidRDefault="001D71AD" w:rsidP="00BB13A1">
      <w:pPr>
        <w:numPr>
          <w:ilvl w:val="1"/>
          <w:numId w:val="11"/>
        </w:numPr>
        <w:ind w:right="720"/>
        <w:jc w:val="both"/>
        <w:rPr>
          <w:lang w:val="fr-FR"/>
        </w:rPr>
      </w:pPr>
      <w:r w:rsidRPr="00946659">
        <w:rPr>
          <w:u w:val="single"/>
          <w:lang w:val="fr-FR"/>
        </w:rPr>
        <w:t xml:space="preserve">Prévalence du VIH chez l’adulte (modifié pour adopter </w:t>
      </w:r>
      <w:r>
        <w:rPr>
          <w:u w:val="single"/>
          <w:lang w:val="fr-FR"/>
        </w:rPr>
        <w:t>pré</w:t>
      </w:r>
      <w:r w:rsidRPr="00946659">
        <w:rPr>
          <w:u w:val="single"/>
          <w:lang w:val="fr-FR"/>
        </w:rPr>
        <w:t>valence du VIH chez les 15-24 ans)</w:t>
      </w:r>
      <w:r w:rsidRPr="00946659">
        <w:rPr>
          <w:lang w:val="fr-FR"/>
        </w:rPr>
        <w:t>: La prévalence du VIH sera encore utilisée mais l’attention portera essentiellement sur les 15-24 ans à la fois parce que les jeunes sontune cible cl</w:t>
      </w:r>
      <w:r>
        <w:rPr>
          <w:lang w:val="fr-FR"/>
        </w:rPr>
        <w:t>é de l’</w:t>
      </w:r>
      <w:r w:rsidRPr="00946659">
        <w:rPr>
          <w:lang w:val="fr-FR"/>
        </w:rPr>
        <w:t xml:space="preserve">UNFPA </w:t>
      </w:r>
      <w:r>
        <w:rPr>
          <w:lang w:val="fr-FR"/>
        </w:rPr>
        <w:t xml:space="preserve">et parce que cet indicateur est considéré une approximation raisonnable de l’incidence du VIH, qui est le centre d’intérêt idéal d’une organisation qui se concentre sur la prévention du VIH mais qui est difficile à mesurer directement. </w:t>
      </w:r>
      <w:r w:rsidRPr="00EB0F48">
        <w:rPr>
          <w:lang w:val="fr-FR"/>
        </w:rPr>
        <w:t>De plus</w:t>
      </w:r>
      <w:r>
        <w:rPr>
          <w:lang w:val="fr-FR"/>
        </w:rPr>
        <w:t>,</w:t>
      </w:r>
      <w:r w:rsidRPr="00EB0F48">
        <w:rPr>
          <w:lang w:val="fr-FR"/>
        </w:rPr>
        <w:t xml:space="preserve"> c’est la mesure utilisée dans les Objectifs du millénaire pour le développement. </w:t>
      </w:r>
    </w:p>
    <w:p w:rsidR="001D71AD" w:rsidRDefault="001D71AD" w:rsidP="00BB13A1">
      <w:pPr>
        <w:numPr>
          <w:ilvl w:val="0"/>
          <w:numId w:val="11"/>
        </w:numPr>
        <w:ind w:right="720"/>
        <w:jc w:val="both"/>
        <w:rPr>
          <w:lang w:val="en-US"/>
        </w:rPr>
      </w:pPr>
      <w:r>
        <w:rPr>
          <w:lang w:val="en-US"/>
        </w:rPr>
        <w:t xml:space="preserve">Suppressions </w:t>
      </w:r>
      <w:r w:rsidRPr="00C26D87">
        <w:rPr>
          <w:lang w:val="en-US"/>
        </w:rPr>
        <w:t>:</w:t>
      </w:r>
    </w:p>
    <w:p w:rsidR="001D71AD" w:rsidRPr="007C7142" w:rsidRDefault="001D71AD" w:rsidP="00BB13A1">
      <w:pPr>
        <w:numPr>
          <w:ilvl w:val="1"/>
          <w:numId w:val="11"/>
        </w:numPr>
        <w:ind w:right="720"/>
        <w:jc w:val="both"/>
        <w:rPr>
          <w:lang w:val="fr-FR"/>
        </w:rPr>
      </w:pPr>
      <w:r w:rsidRPr="006C774F">
        <w:rPr>
          <w:u w:val="single"/>
          <w:lang w:val="fr-FR"/>
        </w:rPr>
        <w:t>Taux de mortalité des moins de cinq ans et taux d’alphabétisation chez les filles/femmes de 15 à 24 ans</w:t>
      </w:r>
      <w:r w:rsidRPr="003639F5">
        <w:rPr>
          <w:lang w:val="fr-FR"/>
        </w:rPr>
        <w:t xml:space="preserve"> : tous deux </w:t>
      </w:r>
      <w:r>
        <w:rPr>
          <w:lang w:val="fr-FR"/>
        </w:rPr>
        <w:t xml:space="preserve">seront </w:t>
      </w:r>
      <w:r w:rsidRPr="003639F5">
        <w:rPr>
          <w:lang w:val="fr-FR"/>
        </w:rPr>
        <w:t>abandonnés car l’</w:t>
      </w:r>
      <w:r w:rsidRPr="006C774F">
        <w:rPr>
          <w:lang w:val="fr-FR"/>
        </w:rPr>
        <w:t xml:space="preserve">UNFPA ne travaille pas directement sur ces questions (bien que les efforts de l’organisation puissent contribuer indirectement </w:t>
      </w:r>
      <w:r>
        <w:rPr>
          <w:lang w:val="fr-FR"/>
        </w:rPr>
        <w:t>aux</w:t>
      </w:r>
      <w:r w:rsidRPr="006C774F">
        <w:rPr>
          <w:lang w:val="fr-FR"/>
        </w:rPr>
        <w:t xml:space="preserve"> deux). </w:t>
      </w:r>
      <w:r w:rsidRPr="007C7142">
        <w:rPr>
          <w:lang w:val="fr-FR"/>
        </w:rPr>
        <w:t>De plus, ces deuxindicateurs n’ajoutent pas de valeur de pr</w:t>
      </w:r>
      <w:r>
        <w:rPr>
          <w:lang w:val="fr-FR"/>
        </w:rPr>
        <w:t>é</w:t>
      </w:r>
      <w:r w:rsidRPr="007C7142">
        <w:rPr>
          <w:lang w:val="fr-FR"/>
        </w:rPr>
        <w:t xml:space="preserve">diction au modèle car ils sont en étroite corrélation avec les indicateurs existants : le coefficient de </w:t>
      </w:r>
      <w:r w:rsidRPr="007C7142">
        <w:rPr>
          <w:lang w:val="fr-FR"/>
        </w:rPr>
        <w:lastRenderedPageBreak/>
        <w:t xml:space="preserve">corrélation entre les résultats des pays avec et sans taux </w:t>
      </w:r>
      <w:r>
        <w:rPr>
          <w:lang w:val="fr-FR"/>
        </w:rPr>
        <w:t xml:space="preserve">d’alphabétisation féminine </w:t>
      </w:r>
      <w:r w:rsidRPr="007C7142">
        <w:rPr>
          <w:lang w:val="fr-FR"/>
        </w:rPr>
        <w:t>(</w:t>
      </w:r>
      <w:r>
        <w:rPr>
          <w:lang w:val="fr-FR"/>
        </w:rPr>
        <w:t xml:space="preserve">coté à </w:t>
      </w:r>
      <w:r w:rsidRPr="007C7142">
        <w:rPr>
          <w:lang w:val="fr-FR"/>
        </w:rPr>
        <w:t xml:space="preserve">10 points) </w:t>
      </w:r>
      <w:r>
        <w:rPr>
          <w:lang w:val="fr-FR"/>
        </w:rPr>
        <w:t>est</w:t>
      </w:r>
      <w:r w:rsidRPr="007C7142">
        <w:rPr>
          <w:lang w:val="fr-FR"/>
        </w:rPr>
        <w:t xml:space="preserve"> 0</w:t>
      </w:r>
      <w:r>
        <w:rPr>
          <w:lang w:val="fr-FR"/>
        </w:rPr>
        <w:t>,</w:t>
      </w:r>
      <w:r w:rsidRPr="007C7142">
        <w:rPr>
          <w:lang w:val="fr-FR"/>
        </w:rPr>
        <w:t xml:space="preserve">9955, </w:t>
      </w:r>
      <w:r>
        <w:rPr>
          <w:lang w:val="fr-FR"/>
        </w:rPr>
        <w:t xml:space="preserve">ce qui signifie que l’inclusion de cet indicateur ne change pratiquement en rien le SAR. </w:t>
      </w:r>
      <w:r w:rsidRPr="007C7142">
        <w:rPr>
          <w:lang w:val="fr-FR"/>
        </w:rPr>
        <w:t>Il en va de même pour la mortalité des moins de 5 ans (R</w:t>
      </w:r>
      <w:r w:rsidRPr="007C7142">
        <w:rPr>
          <w:vertAlign w:val="superscript"/>
          <w:lang w:val="fr-FR"/>
        </w:rPr>
        <w:t>2</w:t>
      </w:r>
      <w:r w:rsidRPr="007C7142">
        <w:rPr>
          <w:lang w:val="fr-FR"/>
        </w:rPr>
        <w:t xml:space="preserve"> = 0.9942).</w:t>
      </w:r>
    </w:p>
    <w:p w:rsidR="001D71AD" w:rsidRPr="004D2A5F" w:rsidRDefault="001D71AD" w:rsidP="00BB13A1">
      <w:pPr>
        <w:numPr>
          <w:ilvl w:val="1"/>
          <w:numId w:val="11"/>
        </w:numPr>
        <w:ind w:right="720"/>
        <w:jc w:val="both"/>
        <w:rPr>
          <w:lang w:val="fr-FR"/>
        </w:rPr>
      </w:pPr>
      <w:r w:rsidRPr="00EF5215">
        <w:rPr>
          <w:lang w:val="fr-FR"/>
        </w:rPr>
        <w:t>Proportion de la population âgée de 10 à 24 ans : la population est une variable importante mais ilest problématique de la prendre en compte de cette manière car aucune direction normative n’y est associée (c.-à-d., qu’une valeur plus élevée ou plus basse n’est pas en soi meilleure ou p</w:t>
      </w:r>
      <w:r>
        <w:rPr>
          <w:lang w:val="fr-FR"/>
        </w:rPr>
        <w:t xml:space="preserve">ire), à la différence de tous les autres indicateurs du SAR (c.-à-d., un déclin du taux de mortalité maternelle est normalement une bonne chose sur le plan des normes tout comme l’est une augmentation de la proportion de demande satisfaite). </w:t>
      </w:r>
      <w:r w:rsidRPr="00F57499">
        <w:rPr>
          <w:lang w:val="fr-FR"/>
        </w:rPr>
        <w:t>Cependant, avec le pourcentage de la population âgé de 10 à 24 ans, il n’est pas possible d’assigner un sens aux changements ; il n’est pas mieux en soi que le nombre soit plus élevé ou plus bas, ce qui rend problématique l’inclusion de l’indicateur dans un système q</w:t>
      </w:r>
      <w:r>
        <w:rPr>
          <w:lang w:val="fr-FR"/>
        </w:rPr>
        <w:t xml:space="preserve">ui est autrement basé sur des indications claires selon lesquelles la valeur d’un indicateur reflète un besoin plus grand qu’une autre valeur du même indicateur </w:t>
      </w:r>
      <w:r w:rsidRPr="00F57499">
        <w:rPr>
          <w:lang w:val="fr-FR"/>
        </w:rPr>
        <w:t>(</w:t>
      </w:r>
      <w:r>
        <w:rPr>
          <w:lang w:val="fr-FR"/>
        </w:rPr>
        <w:t xml:space="preserve">à savoir, un taux élevé de mortalité maternelle signale sans équivoque un plus grand besoin qu’un taux de mortalité maternelle bas). </w:t>
      </w:r>
      <w:r w:rsidRPr="006A12BD">
        <w:rPr>
          <w:lang w:val="fr-FR"/>
        </w:rPr>
        <w:t>De même, le travail de l’UNFPA ne consiste généralement pas à travailler avec les pays en vue d’augmenter ou de diminuer le pourcentage de la population âgée de 10 à 24 ans mais plut</w:t>
      </w:r>
      <w:r>
        <w:rPr>
          <w:lang w:val="fr-FR"/>
        </w:rPr>
        <w:t xml:space="preserve">ôt à planifier pour les implications duchiffre en question (et il en sera probablement encore ainsi pour les années à venir).Cela est, une fois d plus, </w:t>
      </w:r>
      <w:r w:rsidRPr="00481B81">
        <w:rPr>
          <w:lang w:val="fr-FR"/>
        </w:rPr>
        <w:t>t</w:t>
      </w:r>
      <w:r>
        <w:rPr>
          <w:lang w:val="fr-FR"/>
        </w:rPr>
        <w:t>rès</w:t>
      </w:r>
      <w:r w:rsidRPr="00481B81">
        <w:rPr>
          <w:lang w:val="fr-FR"/>
        </w:rPr>
        <w:t xml:space="preserve"> différent des autres indicateurs (par ex., l’UNFPA œuvre directement à aider les pays à diminuer la </w:t>
      </w:r>
      <w:r>
        <w:rPr>
          <w:lang w:val="fr-FR"/>
        </w:rPr>
        <w:t xml:space="preserve">mortalité maternelle et pas à simplement planifier les conséquences de ce fait), ainsi, cet </w:t>
      </w:r>
      <w:r w:rsidRPr="00D53D99">
        <w:rPr>
          <w:lang w:val="fr-FR"/>
        </w:rPr>
        <w:t>indicateur i</w:t>
      </w:r>
      <w:r>
        <w:rPr>
          <w:lang w:val="fr-FR"/>
        </w:rPr>
        <w:t>nadapté ne doit pas être intégré.</w:t>
      </w:r>
      <w:r w:rsidRPr="005B1F36">
        <w:rPr>
          <w:lang w:val="fr-FR"/>
        </w:rPr>
        <w:t>Il ne faut pas interpréter ce propos comme signifiant que l’organ</w:t>
      </w:r>
      <w:r>
        <w:rPr>
          <w:lang w:val="fr-FR"/>
        </w:rPr>
        <w:t>i</w:t>
      </w:r>
      <w:r w:rsidRPr="005B1F36">
        <w:rPr>
          <w:lang w:val="fr-FR"/>
        </w:rPr>
        <w:t>sation ne considère pas ce</w:t>
      </w:r>
      <w:r>
        <w:rPr>
          <w:lang w:val="fr-FR"/>
        </w:rPr>
        <w:t xml:space="preserve"> domaine de travail </w:t>
      </w:r>
      <w:r w:rsidRPr="005B1F36">
        <w:rPr>
          <w:lang w:val="fr-FR"/>
        </w:rPr>
        <w:t>important</w:t>
      </w:r>
      <w:r>
        <w:rPr>
          <w:lang w:val="fr-FR"/>
        </w:rPr>
        <w:t xml:space="preserve">, mais plutôt que la population a été prise en compte séparément, comme cela est expliqué plus loin ; </w:t>
      </w:r>
    </w:p>
    <w:p w:rsidR="001D71AD" w:rsidRPr="00AE3D84" w:rsidRDefault="001D71AD" w:rsidP="00BB13A1">
      <w:pPr>
        <w:numPr>
          <w:ilvl w:val="0"/>
          <w:numId w:val="11"/>
        </w:numPr>
        <w:ind w:right="720"/>
        <w:jc w:val="both"/>
        <w:rPr>
          <w:lang w:val="fr-CA"/>
        </w:rPr>
      </w:pPr>
      <w:r w:rsidRPr="00AE3D84">
        <w:rPr>
          <w:lang w:val="fr-CA"/>
        </w:rPr>
        <w:t>Adjonctions :</w:t>
      </w:r>
    </w:p>
    <w:p w:rsidR="001D71AD" w:rsidRPr="006C774F" w:rsidRDefault="001D71AD" w:rsidP="00BB13A1">
      <w:pPr>
        <w:numPr>
          <w:ilvl w:val="1"/>
          <w:numId w:val="11"/>
        </w:numPr>
        <w:ind w:right="720"/>
        <w:jc w:val="both"/>
        <w:rPr>
          <w:lang w:val="fr-FR"/>
        </w:rPr>
      </w:pPr>
      <w:r w:rsidRPr="000D1E0E">
        <w:rPr>
          <w:lang w:val="fr-CA"/>
        </w:rPr>
        <w:t>I</w:t>
      </w:r>
      <w:r w:rsidRPr="000D1E0E">
        <w:rPr>
          <w:lang w:val="fr-FR"/>
        </w:rPr>
        <w:t>ndex d’inégalité des sexes</w:t>
      </w:r>
      <w:r w:rsidRPr="00573EC0">
        <w:rPr>
          <w:lang w:val="fr-FR"/>
        </w:rPr>
        <w:t xml:space="preserve"> : cet indicateur relativement nouveau, inclus dans le rapport de développement humain, fournit </w:t>
      </w:r>
      <w:r>
        <w:rPr>
          <w:lang w:val="fr-FR"/>
        </w:rPr>
        <w:t>« </w:t>
      </w:r>
      <w:r w:rsidRPr="00573EC0">
        <w:rPr>
          <w:lang w:val="fr-FR"/>
        </w:rPr>
        <w:t xml:space="preserve">une mesure composite de l’inégalité des réalisations entre les hommes et les femmes dans trois dimensions : santé reproductive, autonomie et marché du travail ». Bien que l’UNFPA ne travaille pas directement dans </w:t>
      </w:r>
      <w:r>
        <w:rPr>
          <w:lang w:val="fr-FR"/>
        </w:rPr>
        <w:t xml:space="preserve">tous </w:t>
      </w:r>
      <w:r w:rsidRPr="00573EC0">
        <w:rPr>
          <w:lang w:val="fr-FR"/>
        </w:rPr>
        <w:t>ces domaines, l’indicateur a été choisi, de préférence à d</w:t>
      </w:r>
      <w:r>
        <w:rPr>
          <w:lang w:val="fr-FR"/>
        </w:rPr>
        <w:t>’autres mesures possibles de l’égalité des sexes, pour plusieurs raisons.</w:t>
      </w:r>
      <w:r w:rsidRPr="00573EC0">
        <w:rPr>
          <w:lang w:val="fr-FR"/>
        </w:rPr>
        <w:t>D’abord il tente de capter une image globale de la condition des femmes dans une société donnée, ce qui n</w:t>
      </w:r>
      <w:r>
        <w:rPr>
          <w:lang w:val="fr-FR"/>
        </w:rPr>
        <w:t xml:space="preserve">’est pas le cas d’autres indicateurs d’égalité des sexes. </w:t>
      </w:r>
      <w:r w:rsidRPr="00573EC0">
        <w:rPr>
          <w:lang w:val="fr-FR"/>
        </w:rPr>
        <w:t>Deuxièm</w:t>
      </w:r>
      <w:r>
        <w:rPr>
          <w:lang w:val="fr-FR"/>
        </w:rPr>
        <w:t>em</w:t>
      </w:r>
      <w:r w:rsidRPr="00573EC0">
        <w:rPr>
          <w:lang w:val="fr-FR"/>
        </w:rPr>
        <w:t xml:space="preserve">ent, il comporte dans sa composition un nombre de domaines </w:t>
      </w:r>
      <w:r>
        <w:rPr>
          <w:lang w:val="fr-FR"/>
        </w:rPr>
        <w:t xml:space="preserve">sur lesquels l’UNFPA travaille directement ainsi que quelques-uns sur lesquels il s’aventure à l’occasion à la différence d’autres possibilités pour lesquelles les domaines occasionnels sont uniquement indirects. </w:t>
      </w:r>
      <w:r w:rsidRPr="00F8386C">
        <w:rPr>
          <w:lang w:val="fr-FR"/>
        </w:rPr>
        <w:t>Troisièmement, il met plus largement l’accent sur l’inégalité qui es</w:t>
      </w:r>
      <w:r>
        <w:rPr>
          <w:lang w:val="fr-FR"/>
        </w:rPr>
        <w:t>t</w:t>
      </w:r>
      <w:r w:rsidRPr="00F8386C">
        <w:rPr>
          <w:lang w:val="fr-FR"/>
        </w:rPr>
        <w:t xml:space="preserve"> un </w:t>
      </w:r>
      <w:r>
        <w:rPr>
          <w:lang w:val="fr-FR"/>
        </w:rPr>
        <w:t>élément essentiel du plan stratégique.</w:t>
      </w:r>
      <w:r w:rsidRPr="00F8386C">
        <w:rPr>
          <w:lang w:val="fr-FR"/>
        </w:rPr>
        <w:t xml:space="preserve">  Dernière raison, mais pas </w:t>
      </w:r>
      <w:r>
        <w:rPr>
          <w:lang w:val="fr-FR"/>
        </w:rPr>
        <w:t xml:space="preserve">pour autant </w:t>
      </w:r>
      <w:r w:rsidRPr="00F8386C">
        <w:rPr>
          <w:lang w:val="fr-FR"/>
        </w:rPr>
        <w:t xml:space="preserve">la moindre, il existe de bonnes données le concernant, ce qui n’est pas le cas de la plupart des autres indicateurs </w:t>
      </w:r>
      <w:r>
        <w:rPr>
          <w:lang w:val="fr-FR"/>
        </w:rPr>
        <w:t xml:space="preserve">relatifs à l’égalité des sexes. </w:t>
      </w:r>
    </w:p>
    <w:p w:rsidR="001D71AD" w:rsidRPr="006C774F" w:rsidRDefault="001D71AD" w:rsidP="00C26D87">
      <w:pPr>
        <w:ind w:left="1080" w:right="720"/>
        <w:jc w:val="both"/>
        <w:rPr>
          <w:lang w:val="fr-FR"/>
        </w:rPr>
      </w:pPr>
    </w:p>
    <w:p w:rsidR="001D71AD" w:rsidRPr="00BC2B6A" w:rsidRDefault="001D71AD" w:rsidP="00BB13A1">
      <w:pPr>
        <w:pStyle w:val="Heading3"/>
        <w:numPr>
          <w:ilvl w:val="0"/>
          <w:numId w:val="4"/>
        </w:numPr>
        <w:ind w:left="1080" w:firstLine="0"/>
        <w:rPr>
          <w:lang w:val="fr-FR"/>
        </w:rPr>
      </w:pPr>
      <w:r w:rsidRPr="00DA212E">
        <w:rPr>
          <w:b w:val="0"/>
          <w:sz w:val="20"/>
          <w:lang w:val="fr-FR"/>
        </w:rPr>
        <w:lastRenderedPageBreak/>
        <w:t>Tous les indicateurs proposés répondent au critère de pouvoir s’appuyer sur des données concernant la majorité des pays dans lesquels l’UNFPA exerce ses activités et de provenir d’une source internationale crédible, comme suit</w:t>
      </w:r>
      <w:r>
        <w:rPr>
          <w:lang w:val="fr-FR"/>
        </w:rPr>
        <w:t xml:space="preserve">. </w:t>
      </w:r>
    </w:p>
    <w:p w:rsidR="001D71AD" w:rsidRPr="005253D7" w:rsidRDefault="001D71AD" w:rsidP="00BB13A1">
      <w:pPr>
        <w:numPr>
          <w:ilvl w:val="0"/>
          <w:numId w:val="12"/>
        </w:numPr>
        <w:ind w:right="720"/>
        <w:jc w:val="both"/>
        <w:rPr>
          <w:lang w:val="fr-FR"/>
        </w:rPr>
      </w:pPr>
      <w:r w:rsidRPr="005253D7">
        <w:rPr>
          <w:lang w:val="fr-FR"/>
        </w:rPr>
        <w:t xml:space="preserve">Proportion d’accouchements en </w:t>
      </w:r>
      <w:r>
        <w:rPr>
          <w:lang w:val="fr-FR"/>
        </w:rPr>
        <w:t>pré</w:t>
      </w:r>
      <w:r w:rsidRPr="005253D7">
        <w:rPr>
          <w:lang w:val="fr-FR"/>
        </w:rPr>
        <w:t xml:space="preserve">sence de personnel </w:t>
      </w:r>
      <w:r>
        <w:rPr>
          <w:lang w:val="fr-FR"/>
        </w:rPr>
        <w:t>mé</w:t>
      </w:r>
      <w:r w:rsidRPr="005253D7">
        <w:rPr>
          <w:lang w:val="fr-FR"/>
        </w:rPr>
        <w:t xml:space="preserve">dical </w:t>
      </w:r>
      <w:r>
        <w:rPr>
          <w:lang w:val="fr-FR"/>
        </w:rPr>
        <w:t>spé</w:t>
      </w:r>
      <w:r w:rsidRPr="005253D7">
        <w:rPr>
          <w:lang w:val="fr-FR"/>
        </w:rPr>
        <w:t>ciali</w:t>
      </w:r>
      <w:r>
        <w:rPr>
          <w:lang w:val="fr-FR"/>
        </w:rPr>
        <w:t>sé</w:t>
      </w:r>
      <w:r w:rsidRPr="005253D7">
        <w:rPr>
          <w:lang w:val="fr-FR"/>
        </w:rPr>
        <w:t xml:space="preserve"> pour le quintile le plus pauvre de la population : UNICEF, Rapport 2013 sur l</w:t>
      </w:r>
      <w:r>
        <w:rPr>
          <w:lang w:val="fr-FR"/>
        </w:rPr>
        <w:t xml:space="preserve">a condition des enfants du monde </w:t>
      </w:r>
      <w:r w:rsidRPr="005253D7">
        <w:rPr>
          <w:lang w:val="fr-FR"/>
        </w:rPr>
        <w:t>(</w:t>
      </w:r>
      <w:r>
        <w:rPr>
          <w:lang w:val="fr-FR"/>
        </w:rPr>
        <w:t>données les plus récentes</w:t>
      </w:r>
      <w:r w:rsidRPr="005253D7">
        <w:rPr>
          <w:lang w:val="fr-FR"/>
        </w:rPr>
        <w:t>);</w:t>
      </w:r>
    </w:p>
    <w:p w:rsidR="001D71AD" w:rsidRPr="005253D7" w:rsidRDefault="001D71AD" w:rsidP="00BB13A1">
      <w:pPr>
        <w:numPr>
          <w:ilvl w:val="0"/>
          <w:numId w:val="12"/>
        </w:numPr>
        <w:ind w:right="720"/>
        <w:jc w:val="both"/>
        <w:rPr>
          <w:lang w:val="fr-FR"/>
        </w:rPr>
      </w:pPr>
      <w:r w:rsidRPr="005253D7">
        <w:rPr>
          <w:lang w:val="fr-FR"/>
        </w:rPr>
        <w:t>Taux de mortalité maternelle : Division des statistiques des Nations Unies, base de donn</w:t>
      </w:r>
      <w:r>
        <w:rPr>
          <w:lang w:val="fr-FR"/>
        </w:rPr>
        <w:t xml:space="preserve">ées sur les OMD (données 2010) </w:t>
      </w:r>
      <w:r w:rsidRPr="005253D7">
        <w:rPr>
          <w:lang w:val="fr-FR"/>
        </w:rPr>
        <w:t>;</w:t>
      </w:r>
    </w:p>
    <w:p w:rsidR="001D71AD" w:rsidRPr="005253D7" w:rsidRDefault="001D71AD" w:rsidP="00BB13A1">
      <w:pPr>
        <w:numPr>
          <w:ilvl w:val="0"/>
          <w:numId w:val="12"/>
        </w:numPr>
        <w:ind w:right="720"/>
        <w:jc w:val="both"/>
        <w:rPr>
          <w:lang w:val="fr-FR"/>
        </w:rPr>
      </w:pPr>
      <w:r w:rsidRPr="005253D7">
        <w:rPr>
          <w:lang w:val="fr-FR"/>
        </w:rPr>
        <w:t>Taux de n</w:t>
      </w:r>
      <w:r>
        <w:rPr>
          <w:lang w:val="fr-FR"/>
        </w:rPr>
        <w:t>atalité</w:t>
      </w:r>
      <w:r w:rsidRPr="005253D7">
        <w:rPr>
          <w:lang w:val="fr-FR"/>
        </w:rPr>
        <w:t xml:space="preserve"> chez les adolescent</w:t>
      </w:r>
      <w:r>
        <w:rPr>
          <w:lang w:val="fr-FR"/>
        </w:rPr>
        <w:t>e</w:t>
      </w:r>
      <w:r w:rsidRPr="005253D7">
        <w:rPr>
          <w:lang w:val="fr-FR"/>
        </w:rPr>
        <w:t xml:space="preserve">s: </w:t>
      </w:r>
      <w:r>
        <w:rPr>
          <w:lang w:val="fr-FR"/>
        </w:rPr>
        <w:t>Programme des Nations Unies pour le développement</w:t>
      </w:r>
      <w:r w:rsidRPr="005253D7">
        <w:rPr>
          <w:lang w:val="fr-FR"/>
        </w:rPr>
        <w:t xml:space="preserve">, </w:t>
      </w:r>
      <w:r>
        <w:rPr>
          <w:lang w:val="fr-FR"/>
        </w:rPr>
        <w:t xml:space="preserve">Estimations de la population mondiale </w:t>
      </w:r>
    </w:p>
    <w:p w:rsidR="001D71AD" w:rsidRPr="005253D7" w:rsidRDefault="001D71AD" w:rsidP="00BB13A1">
      <w:pPr>
        <w:numPr>
          <w:ilvl w:val="0"/>
          <w:numId w:val="12"/>
        </w:numPr>
        <w:ind w:right="720"/>
        <w:jc w:val="both"/>
        <w:rPr>
          <w:lang w:val="fr-FR"/>
        </w:rPr>
      </w:pPr>
      <w:r w:rsidRPr="005253D7">
        <w:rPr>
          <w:lang w:val="fr-FR"/>
        </w:rPr>
        <w:t>Proportion de demande de contraception modern</w:t>
      </w:r>
      <w:r>
        <w:rPr>
          <w:lang w:val="fr-FR"/>
        </w:rPr>
        <w:t>e</w:t>
      </w:r>
      <w:r w:rsidRPr="005253D7">
        <w:rPr>
          <w:lang w:val="fr-FR"/>
        </w:rPr>
        <w:t xml:space="preserve">satisfaite : </w:t>
      </w:r>
      <w:r>
        <w:rPr>
          <w:lang w:val="fr-FR"/>
        </w:rPr>
        <w:t>Division de la population des Nations Unies</w:t>
      </w:r>
      <w:r w:rsidRPr="005253D7">
        <w:rPr>
          <w:lang w:val="fr-FR"/>
        </w:rPr>
        <w:t xml:space="preserve">, </w:t>
      </w:r>
      <w:r>
        <w:rPr>
          <w:lang w:val="fr-FR"/>
        </w:rPr>
        <w:t xml:space="preserve">Usage mondial de la contraception 2012 (données de </w:t>
      </w:r>
      <w:r w:rsidRPr="005253D7">
        <w:rPr>
          <w:lang w:val="fr-FR"/>
        </w:rPr>
        <w:t>2012);</w:t>
      </w:r>
    </w:p>
    <w:p w:rsidR="001D71AD" w:rsidRPr="00524529" w:rsidRDefault="001D71AD" w:rsidP="00BB13A1">
      <w:pPr>
        <w:numPr>
          <w:ilvl w:val="0"/>
          <w:numId w:val="12"/>
        </w:numPr>
        <w:ind w:right="720"/>
        <w:jc w:val="both"/>
        <w:rPr>
          <w:lang w:val="fr-FR"/>
        </w:rPr>
      </w:pPr>
      <w:r w:rsidRPr="00524529">
        <w:rPr>
          <w:lang w:val="fr-FR"/>
        </w:rPr>
        <w:t xml:space="preserve">Prévalence du VIH, </w:t>
      </w:r>
      <w:r>
        <w:rPr>
          <w:lang w:val="fr-FR"/>
        </w:rPr>
        <w:t>â</w:t>
      </w:r>
      <w:r w:rsidRPr="00524529">
        <w:rPr>
          <w:lang w:val="fr-FR"/>
        </w:rPr>
        <w:t>ges 15-24 ans : Rapport UNAIDS sur l</w:t>
      </w:r>
      <w:r>
        <w:rPr>
          <w:lang w:val="fr-FR"/>
        </w:rPr>
        <w:t xml:space="preserve">’épidémie mondiale de sida </w:t>
      </w:r>
      <w:r w:rsidRPr="00524529">
        <w:rPr>
          <w:lang w:val="fr-FR"/>
        </w:rPr>
        <w:t>2012 (</w:t>
      </w:r>
      <w:r>
        <w:rPr>
          <w:lang w:val="fr-FR"/>
        </w:rPr>
        <w:t>données de 2011</w:t>
      </w:r>
      <w:r w:rsidRPr="00524529">
        <w:rPr>
          <w:lang w:val="fr-FR"/>
        </w:rPr>
        <w:t>);</w:t>
      </w:r>
    </w:p>
    <w:p w:rsidR="001D71AD" w:rsidRPr="00524529" w:rsidRDefault="001D71AD" w:rsidP="00BB13A1">
      <w:pPr>
        <w:numPr>
          <w:ilvl w:val="0"/>
          <w:numId w:val="12"/>
        </w:numPr>
        <w:ind w:right="720"/>
        <w:jc w:val="both"/>
        <w:rPr>
          <w:lang w:val="fr-FR"/>
        </w:rPr>
      </w:pPr>
      <w:r w:rsidRPr="00524529">
        <w:rPr>
          <w:lang w:val="fr-FR"/>
        </w:rPr>
        <w:t>Index d’inégalité des sexes :</w:t>
      </w:r>
      <w:r>
        <w:rPr>
          <w:lang w:val="fr-FR"/>
        </w:rPr>
        <w:t xml:space="preserve">Rapport 2013 du PNUD sur le développement humain </w:t>
      </w:r>
      <w:r w:rsidRPr="00524529">
        <w:rPr>
          <w:lang w:val="fr-FR"/>
        </w:rPr>
        <w:t>(</w:t>
      </w:r>
      <w:r>
        <w:rPr>
          <w:lang w:val="fr-FR"/>
        </w:rPr>
        <w:t>données 2012</w:t>
      </w:r>
      <w:r w:rsidRPr="00524529">
        <w:rPr>
          <w:lang w:val="fr-FR"/>
        </w:rPr>
        <w:t>).</w:t>
      </w:r>
    </w:p>
    <w:p w:rsidR="001D71AD" w:rsidRPr="00524529" w:rsidRDefault="001D71AD" w:rsidP="00C26D87">
      <w:pPr>
        <w:ind w:left="1080" w:right="720"/>
        <w:jc w:val="both"/>
        <w:rPr>
          <w:lang w:val="fr-FR"/>
        </w:rPr>
      </w:pPr>
    </w:p>
    <w:p w:rsidR="001D71AD" w:rsidRPr="00B57063" w:rsidRDefault="001D71AD" w:rsidP="00BB13A1">
      <w:pPr>
        <w:pStyle w:val="Heading3"/>
        <w:numPr>
          <w:ilvl w:val="0"/>
          <w:numId w:val="4"/>
        </w:numPr>
        <w:ind w:left="1080" w:firstLine="0"/>
        <w:rPr>
          <w:b w:val="0"/>
          <w:sz w:val="20"/>
          <w:lang w:val="fr-FR"/>
        </w:rPr>
      </w:pPr>
      <w:r w:rsidRPr="00B57063">
        <w:rPr>
          <w:b w:val="0"/>
          <w:sz w:val="20"/>
          <w:lang w:val="fr-FR"/>
        </w:rPr>
        <w:t>On notera que, comme dans le SAR actuel, aucun indicateur ne reflète le travail de l’organisation sur la dynamique de la population et les données</w:t>
      </w:r>
      <w:r>
        <w:rPr>
          <w:b w:val="0"/>
          <w:sz w:val="20"/>
          <w:lang w:val="fr-FR"/>
        </w:rPr>
        <w:t xml:space="preserve"> le concernant</w:t>
      </w:r>
      <w:r w:rsidRPr="00B57063">
        <w:rPr>
          <w:b w:val="0"/>
          <w:sz w:val="20"/>
          <w:lang w:val="fr-FR"/>
        </w:rPr>
        <w:t>.Cela tient à deux faits : premièrement, tous les pays ont des problèmes relatifs à la population et aux données et deuxièmement, aucune mesure ne donne un résumé facile à comprendre de ces derni</w:t>
      </w:r>
      <w:r>
        <w:rPr>
          <w:b w:val="0"/>
          <w:sz w:val="20"/>
          <w:lang w:val="fr-FR"/>
        </w:rPr>
        <w:t>ers,</w:t>
      </w:r>
      <w:r w:rsidRPr="00B57063">
        <w:rPr>
          <w:b w:val="0"/>
          <w:sz w:val="20"/>
          <w:lang w:val="fr-FR"/>
        </w:rPr>
        <w:t>ni de méthode claire concernant l</w:t>
      </w:r>
      <w:r>
        <w:rPr>
          <w:b w:val="0"/>
          <w:sz w:val="20"/>
          <w:lang w:val="fr-FR"/>
        </w:rPr>
        <w:t xml:space="preserve">a direction du travail (à </w:t>
      </w:r>
      <w:r w:rsidRPr="00B57063">
        <w:rPr>
          <w:b w:val="0"/>
          <w:sz w:val="20"/>
          <w:lang w:val="fr-FR"/>
        </w:rPr>
        <w:t xml:space="preserve">la différence, par exemple du taux de mortalité maternelle où un déclin est sans équivoque, bon).En conséquence, les questions de dynamique des populations et de données ne sont pas prises en compte dans ce calcul de besoin bien qu’elles soient reflétées dans le mécanisme d’attribution des ressources, comme indiqué ci-dessous. </w:t>
      </w:r>
    </w:p>
    <w:p w:rsidR="001D71AD" w:rsidRPr="006C774F" w:rsidRDefault="001D71AD" w:rsidP="007A04CC">
      <w:pPr>
        <w:ind w:left="1080" w:right="720"/>
        <w:jc w:val="both"/>
        <w:rPr>
          <w:lang w:val="fr-FR"/>
        </w:rPr>
      </w:pPr>
    </w:p>
    <w:p w:rsidR="001D71AD" w:rsidRPr="00D019B8" w:rsidRDefault="001D71AD" w:rsidP="00BB13A1">
      <w:pPr>
        <w:pStyle w:val="Heading3"/>
        <w:numPr>
          <w:ilvl w:val="0"/>
          <w:numId w:val="4"/>
        </w:numPr>
        <w:ind w:left="1080" w:firstLine="0"/>
        <w:rPr>
          <w:lang w:val="fr-FR"/>
        </w:rPr>
      </w:pPr>
      <w:r w:rsidRPr="00B57063">
        <w:rPr>
          <w:b w:val="0"/>
          <w:sz w:val="20"/>
          <w:lang w:val="fr-FR"/>
        </w:rPr>
        <w:t>Nous proposons cependant d’inclure deux autres sujets comme facteurs supplémentaires dans les SAR</w:t>
      </w:r>
      <w:r w:rsidRPr="00D019B8">
        <w:rPr>
          <w:lang w:val="fr-FR"/>
        </w:rPr>
        <w:t>:</w:t>
      </w:r>
    </w:p>
    <w:p w:rsidR="001D71AD" w:rsidRPr="00224821" w:rsidRDefault="001D71AD" w:rsidP="00BB13A1">
      <w:pPr>
        <w:numPr>
          <w:ilvl w:val="0"/>
          <w:numId w:val="13"/>
        </w:numPr>
        <w:ind w:right="720"/>
        <w:jc w:val="both"/>
        <w:rPr>
          <w:lang w:val="fr-FR"/>
        </w:rPr>
      </w:pPr>
      <w:r w:rsidRPr="003C33CE">
        <w:rPr>
          <w:u w:val="single"/>
          <w:lang w:val="fr-FR"/>
        </w:rPr>
        <w:t xml:space="preserve">Risque de crises humanitaires </w:t>
      </w:r>
      <w:r w:rsidRPr="003C33CE">
        <w:rPr>
          <w:lang w:val="fr-FR"/>
        </w:rPr>
        <w:t>: il est inclus car c’est un facteur qui influe sur la capacité de l’UNFPA d’obtenir des résultats, à la fois en changeant la nature du travail que l’organisation effectue et en augmentant les difficult</w:t>
      </w:r>
      <w:r>
        <w:rPr>
          <w:lang w:val="fr-FR"/>
        </w:rPr>
        <w:t>és (</w:t>
      </w:r>
      <w:r w:rsidRPr="003C33CE">
        <w:rPr>
          <w:lang w:val="fr-FR"/>
        </w:rPr>
        <w:t xml:space="preserve">et donc les coûts) de l’exécution des interventions ; ilest </w:t>
      </w:r>
      <w:r>
        <w:rPr>
          <w:lang w:val="fr-FR"/>
        </w:rPr>
        <w:t>évalué à travers le modèle de perspective mondiale d’OCHA qui évalue les dangers auxquels les pays sont confrontés, leur vulnérabilité, et la capacité des populations de faire face aux  risques </w:t>
      </w:r>
      <w:r w:rsidRPr="00224821">
        <w:rPr>
          <w:lang w:val="fr-FR"/>
        </w:rPr>
        <w:t>;</w:t>
      </w:r>
    </w:p>
    <w:p w:rsidR="001D71AD" w:rsidRPr="00224821" w:rsidRDefault="001D71AD" w:rsidP="00BB13A1">
      <w:pPr>
        <w:numPr>
          <w:ilvl w:val="0"/>
          <w:numId w:val="13"/>
        </w:numPr>
        <w:ind w:right="720"/>
        <w:jc w:val="both"/>
        <w:rPr>
          <w:lang w:val="fr-FR"/>
        </w:rPr>
      </w:pPr>
      <w:r w:rsidRPr="00224821">
        <w:rPr>
          <w:u w:val="single"/>
          <w:lang w:val="fr-FR"/>
        </w:rPr>
        <w:t xml:space="preserve">Inégalités de revenus </w:t>
      </w:r>
      <w:r w:rsidRPr="00224821">
        <w:rPr>
          <w:lang w:val="fr-FR"/>
        </w:rPr>
        <w:t xml:space="preserve">: cet </w:t>
      </w:r>
      <w:r>
        <w:rPr>
          <w:lang w:val="fr-FR"/>
        </w:rPr>
        <w:t>élé</w:t>
      </w:r>
      <w:r w:rsidRPr="00224821">
        <w:rPr>
          <w:lang w:val="fr-FR"/>
        </w:rPr>
        <w:t>ment est inclus car une grande inégalité de revenu est généralement associée à de grandes poches de pauvreté, ce qui mo</w:t>
      </w:r>
      <w:r>
        <w:rPr>
          <w:lang w:val="fr-FR"/>
        </w:rPr>
        <w:t>di</w:t>
      </w:r>
      <w:r w:rsidRPr="00224821">
        <w:rPr>
          <w:lang w:val="fr-FR"/>
        </w:rPr>
        <w:t>fie la nature de la programmation de l</w:t>
      </w:r>
      <w:r>
        <w:rPr>
          <w:lang w:val="fr-FR"/>
        </w:rPr>
        <w:t>’</w:t>
      </w:r>
      <w:r w:rsidRPr="00224821">
        <w:rPr>
          <w:lang w:val="fr-FR"/>
        </w:rPr>
        <w:t xml:space="preserve">UNFPA; </w:t>
      </w:r>
      <w:r>
        <w:rPr>
          <w:lang w:val="fr-FR"/>
        </w:rPr>
        <w:t xml:space="preserve">l’évaluation se fait à travers le ratio de revenu du quintile le plus pauvre par rapport à celui du quintile le plus riche (tiré du Rapport 2013 du PNUD sur le développement humain). </w:t>
      </w:r>
    </w:p>
    <w:p w:rsidR="001D71AD" w:rsidRPr="00224821" w:rsidRDefault="001D71AD" w:rsidP="007A04CC">
      <w:pPr>
        <w:ind w:left="1080" w:right="720"/>
        <w:jc w:val="both"/>
        <w:rPr>
          <w:lang w:val="fr-FR"/>
        </w:rPr>
      </w:pPr>
    </w:p>
    <w:p w:rsidR="001D71AD" w:rsidRPr="00D11AB6" w:rsidRDefault="001D71AD" w:rsidP="00BB13A1">
      <w:pPr>
        <w:pStyle w:val="Heading3"/>
        <w:numPr>
          <w:ilvl w:val="0"/>
          <w:numId w:val="4"/>
        </w:numPr>
        <w:ind w:left="1080" w:firstLine="0"/>
        <w:rPr>
          <w:b w:val="0"/>
          <w:sz w:val="20"/>
          <w:lang w:val="fr-FR"/>
        </w:rPr>
      </w:pPr>
      <w:r w:rsidRPr="00D11AB6">
        <w:rPr>
          <w:b w:val="0"/>
          <w:sz w:val="20"/>
          <w:lang w:val="fr-FR"/>
        </w:rPr>
        <w:t>Ces deux indicateurs n’étant pas de même nature que les six ci-dessus, ils  n’ont pas été ajoutés à la liste: l’UNFPA travaille en effet directement sur les domaines visés par les six indicateurs tandis que les deux facteurs supplémentaires appartiennent à des domaines qui</w:t>
      </w:r>
      <w:r>
        <w:rPr>
          <w:b w:val="0"/>
          <w:sz w:val="20"/>
          <w:lang w:val="fr-FR"/>
        </w:rPr>
        <w:t>,</w:t>
      </w:r>
      <w:r w:rsidRPr="00D11AB6">
        <w:rPr>
          <w:b w:val="0"/>
          <w:sz w:val="20"/>
          <w:lang w:val="fr-FR"/>
        </w:rPr>
        <w:t xml:space="preserve">s’ils ont des répercussions sur le travail de l’organisation, ne font pas l’objet d’interventions de l’organisation (bien qu’il puisse y avoir des effets indirects, comme par exemple, les efforts pour promouvoir l’égalité des sexes peuvent influencer l’inégalité des revenus).  </w:t>
      </w:r>
    </w:p>
    <w:p w:rsidR="001D71AD" w:rsidRPr="00D11AB6" w:rsidRDefault="001D71AD" w:rsidP="00D11AB6">
      <w:pPr>
        <w:pStyle w:val="Heading3"/>
        <w:numPr>
          <w:ilvl w:val="0"/>
          <w:numId w:val="0"/>
        </w:numPr>
        <w:ind w:left="1080"/>
        <w:rPr>
          <w:b w:val="0"/>
          <w:sz w:val="20"/>
          <w:lang w:val="fr-FR"/>
        </w:rPr>
      </w:pPr>
    </w:p>
    <w:p w:rsidR="001D71AD" w:rsidRPr="0071090A" w:rsidRDefault="001D71AD" w:rsidP="00493DB0">
      <w:pPr>
        <w:pStyle w:val="Heading3"/>
        <w:numPr>
          <w:ilvl w:val="0"/>
          <w:numId w:val="9"/>
        </w:numPr>
        <w:ind w:right="720" w:hanging="2610"/>
        <w:jc w:val="both"/>
        <w:rPr>
          <w:lang w:val="fr-FR"/>
        </w:rPr>
      </w:pPr>
      <w:r w:rsidRPr="0071090A">
        <w:rPr>
          <w:lang w:val="fr-FR"/>
        </w:rPr>
        <w:t>Établir l</w:t>
      </w:r>
      <w:r>
        <w:rPr>
          <w:lang w:val="fr-FR"/>
        </w:rPr>
        <w:t>e f</w:t>
      </w:r>
      <w:r w:rsidRPr="0071090A">
        <w:rPr>
          <w:lang w:val="fr-FR"/>
        </w:rPr>
        <w:t>a</w:t>
      </w:r>
      <w:r>
        <w:rPr>
          <w:lang w:val="fr-FR"/>
        </w:rPr>
        <w:t>cteur de</w:t>
      </w:r>
      <w:r w:rsidRPr="0071090A">
        <w:rPr>
          <w:lang w:val="fr-FR"/>
        </w:rPr>
        <w:t xml:space="preserve"> pondération des indicateurs </w:t>
      </w:r>
    </w:p>
    <w:p w:rsidR="001D71AD" w:rsidRPr="001669ED" w:rsidRDefault="001D71AD" w:rsidP="00BB13A1">
      <w:pPr>
        <w:pStyle w:val="Heading3"/>
        <w:numPr>
          <w:ilvl w:val="0"/>
          <w:numId w:val="4"/>
        </w:numPr>
        <w:ind w:left="1080" w:right="720" w:firstLine="0"/>
        <w:jc w:val="both"/>
        <w:rPr>
          <w:b w:val="0"/>
          <w:lang w:val="fr-FR"/>
        </w:rPr>
      </w:pPr>
      <w:r w:rsidRPr="001669ED">
        <w:rPr>
          <w:b w:val="0"/>
          <w:sz w:val="20"/>
          <w:lang w:val="fr-FR"/>
        </w:rPr>
        <w:t xml:space="preserve">Dans le SAR actuel, le même poids est accordé aux huit indicateurs, ce qui est un problème car cela implique que chacun a la même importance pour l’organisation, ce qui n’est </w:t>
      </w:r>
      <w:r>
        <w:rPr>
          <w:b w:val="0"/>
          <w:sz w:val="20"/>
          <w:lang w:val="fr-FR"/>
        </w:rPr>
        <w:lastRenderedPageBreak/>
        <w:t>pas du tout</w:t>
      </w:r>
      <w:r w:rsidRPr="001669ED">
        <w:rPr>
          <w:b w:val="0"/>
          <w:sz w:val="20"/>
          <w:lang w:val="fr-FR"/>
        </w:rPr>
        <w:t xml:space="preserve"> le cas. En conséquence, nous ajoutons une étape supplémentaire au SAR qui consiste à ajouter un facteur de pondération aux indicateurs.</w:t>
      </w:r>
    </w:p>
    <w:p w:rsidR="001D71AD" w:rsidRPr="001669ED" w:rsidRDefault="001D71AD" w:rsidP="00DB4B8A">
      <w:pPr>
        <w:ind w:left="1080" w:right="720"/>
        <w:jc w:val="both"/>
        <w:rPr>
          <w:lang w:val="fr-FR"/>
        </w:rPr>
      </w:pPr>
    </w:p>
    <w:p w:rsidR="001D71AD" w:rsidRPr="00D11AB6" w:rsidRDefault="001D71AD" w:rsidP="00BB13A1">
      <w:pPr>
        <w:pStyle w:val="Heading3"/>
        <w:numPr>
          <w:ilvl w:val="0"/>
          <w:numId w:val="4"/>
        </w:numPr>
        <w:ind w:left="1080" w:firstLine="0"/>
        <w:rPr>
          <w:b w:val="0"/>
          <w:sz w:val="20"/>
          <w:lang w:val="fr-FR"/>
        </w:rPr>
      </w:pPr>
      <w:r w:rsidRPr="00D11AB6">
        <w:rPr>
          <w:b w:val="0"/>
          <w:sz w:val="20"/>
          <w:lang w:val="fr-FR"/>
        </w:rPr>
        <w:t xml:space="preserve">Plusieurs méthodes de combinaison des indicateurs ont été étudiées. Celle qui a été adoptée en fin de compte est un système simple basé sur des points qui pondère (attribue des points) d’abord chaque indicateur (pondération </w:t>
      </w:r>
      <w:r w:rsidRPr="00493DB0">
        <w:rPr>
          <w:b w:val="0"/>
          <w:sz w:val="20"/>
          <w:u w:val="single"/>
          <w:lang w:val="fr-FR"/>
        </w:rPr>
        <w:t>inter</w:t>
      </w:r>
      <w:r w:rsidRPr="00D11AB6">
        <w:rPr>
          <w:b w:val="0"/>
          <w:sz w:val="20"/>
          <w:lang w:val="fr-FR"/>
        </w:rPr>
        <w:t xml:space="preserve">-indicateur), puis les niveaux de besoin au sein d’un indicateur (pondération </w:t>
      </w:r>
      <w:r w:rsidRPr="00493DB0">
        <w:rPr>
          <w:b w:val="0"/>
          <w:sz w:val="20"/>
          <w:u w:val="single"/>
          <w:lang w:val="fr-FR"/>
        </w:rPr>
        <w:t>intra</w:t>
      </w:r>
      <w:r>
        <w:rPr>
          <w:lang w:val="fr-FR"/>
        </w:rPr>
        <w:t>-</w:t>
      </w:r>
      <w:r w:rsidRPr="00D11AB6">
        <w:rPr>
          <w:b w:val="0"/>
          <w:sz w:val="20"/>
          <w:lang w:val="fr-FR"/>
        </w:rPr>
        <w:t>indicateur). Cette méthode a des points communs avec les systèmes utilisés par l’UNICEF et le Fonds mondial de lutte contre le sida, la tuberculose et le paludisme.</w:t>
      </w:r>
    </w:p>
    <w:p w:rsidR="001D71AD" w:rsidRPr="00D11AB6" w:rsidRDefault="001D71AD" w:rsidP="004D482C">
      <w:pPr>
        <w:pStyle w:val="Heading3"/>
        <w:numPr>
          <w:ilvl w:val="0"/>
          <w:numId w:val="0"/>
        </w:numPr>
        <w:ind w:left="1620"/>
        <w:rPr>
          <w:b w:val="0"/>
          <w:sz w:val="20"/>
          <w:lang w:val="fr-FR"/>
        </w:rPr>
      </w:pPr>
    </w:p>
    <w:p w:rsidR="001D71AD" w:rsidRPr="00D11AB6" w:rsidRDefault="001D71AD" w:rsidP="00BB13A1">
      <w:pPr>
        <w:pStyle w:val="Heading3"/>
        <w:numPr>
          <w:ilvl w:val="0"/>
          <w:numId w:val="4"/>
        </w:numPr>
        <w:ind w:left="1080" w:firstLine="0"/>
        <w:rPr>
          <w:b w:val="0"/>
          <w:sz w:val="20"/>
          <w:lang w:val="fr-FR"/>
        </w:rPr>
      </w:pPr>
      <w:r w:rsidRPr="00D11AB6">
        <w:rPr>
          <w:b w:val="0"/>
          <w:sz w:val="20"/>
          <w:lang w:val="fr-FR"/>
        </w:rPr>
        <w:t xml:space="preserve">Le choix de facteurs de pondération inter indicateurs n’est pas un exercice purement statistique qui peut être basé </w:t>
      </w:r>
      <w:r>
        <w:rPr>
          <w:b w:val="0"/>
          <w:sz w:val="20"/>
          <w:lang w:val="fr-FR"/>
        </w:rPr>
        <w:t xml:space="preserve">sur </w:t>
      </w:r>
      <w:r w:rsidRPr="00D11AB6">
        <w:rPr>
          <w:b w:val="0"/>
          <w:sz w:val="20"/>
          <w:lang w:val="fr-FR"/>
        </w:rPr>
        <w:t xml:space="preserve">l’information empirique existante. Au lieu de cela, les facteurs de pondération doivent refléter la prise de décision stratégique concernant les priorités de l’organisation. La Figure 5 représente le facteur de pondération de chacun des six indicateurs figurant ci-dessus. </w:t>
      </w:r>
    </w:p>
    <w:p w:rsidR="001D71AD" w:rsidRPr="00D11AB6" w:rsidRDefault="001D71AD" w:rsidP="004D482C">
      <w:pPr>
        <w:pStyle w:val="Heading3"/>
        <w:numPr>
          <w:ilvl w:val="0"/>
          <w:numId w:val="0"/>
        </w:numPr>
        <w:ind w:left="1620" w:hanging="540"/>
        <w:rPr>
          <w:b w:val="0"/>
          <w:sz w:val="20"/>
          <w:lang w:val="fr-FR"/>
        </w:rPr>
      </w:pPr>
    </w:p>
    <w:p w:rsidR="001D71AD" w:rsidRPr="004D482C" w:rsidRDefault="001D71AD" w:rsidP="00DB4B8A">
      <w:pPr>
        <w:ind w:left="1080" w:right="720"/>
        <w:jc w:val="both"/>
        <w:rPr>
          <w:lang w:val="fr-FR"/>
        </w:rPr>
      </w:pPr>
      <w:r w:rsidRPr="004D482C">
        <w:rPr>
          <w:b/>
          <w:lang w:val="fr-FR"/>
        </w:rPr>
        <w:t xml:space="preserve">Figure 5: </w:t>
      </w:r>
      <w:r w:rsidRPr="00AE3D84">
        <w:rPr>
          <w:b/>
          <w:lang w:val="fr-CA"/>
        </w:rPr>
        <w:t>Pondération des indicateurs SAR</w:t>
      </w:r>
    </w:p>
    <w:p w:rsidR="001D71AD" w:rsidRPr="00445095" w:rsidRDefault="00675BF5" w:rsidP="00DB4B8A">
      <w:pPr>
        <w:ind w:left="1080" w:right="720"/>
        <w:jc w:val="both"/>
        <w:rPr>
          <w:lang w:val="en-US"/>
        </w:rPr>
      </w:pPr>
      <w:r>
        <w:rPr>
          <w:noProof/>
          <w:lang w:val="en-US"/>
        </w:rPr>
        <w:drawing>
          <wp:inline distT="0" distB="0" distL="0" distR="0">
            <wp:extent cx="4857750" cy="3009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0" cy="3009900"/>
                    </a:xfrm>
                    <a:prstGeom prst="rect">
                      <a:avLst/>
                    </a:prstGeom>
                    <a:noFill/>
                    <a:ln>
                      <a:noFill/>
                    </a:ln>
                  </pic:spPr>
                </pic:pic>
              </a:graphicData>
            </a:graphic>
          </wp:inline>
        </w:drawing>
      </w:r>
    </w:p>
    <w:p w:rsidR="001D71AD" w:rsidRDefault="001D71AD" w:rsidP="00DB4B8A">
      <w:pPr>
        <w:ind w:left="1080" w:right="720"/>
        <w:jc w:val="both"/>
        <w:rPr>
          <w:lang w:val="fr-FR"/>
        </w:rPr>
      </w:pPr>
      <w:r w:rsidRPr="00C54E1A">
        <w:rPr>
          <w:lang w:val="fr-FR"/>
        </w:rPr>
        <w:t>Taux de fertilité des adolescentes</w:t>
      </w:r>
      <w:r w:rsidRPr="00C8484A">
        <w:rPr>
          <w:lang w:val="fr-FR"/>
        </w:rPr>
        <w:t xml:space="preserve"> 20%                          Taux de mo</w:t>
      </w:r>
      <w:r>
        <w:rPr>
          <w:lang w:val="fr-FR"/>
        </w:rPr>
        <w:t>r</w:t>
      </w:r>
      <w:r w:rsidRPr="00C8484A">
        <w:rPr>
          <w:lang w:val="fr-FR"/>
        </w:rPr>
        <w:t>talit</w:t>
      </w:r>
      <w:r>
        <w:rPr>
          <w:lang w:val="fr-FR"/>
        </w:rPr>
        <w:t xml:space="preserve">é maternelle 20 % </w:t>
      </w:r>
    </w:p>
    <w:p w:rsidR="001D71AD" w:rsidRDefault="001D71AD" w:rsidP="00DB4B8A">
      <w:pPr>
        <w:ind w:left="1080" w:right="720"/>
        <w:jc w:val="both"/>
        <w:rPr>
          <w:lang w:val="fr-FR"/>
        </w:rPr>
      </w:pPr>
      <w:r>
        <w:rPr>
          <w:lang w:val="fr-FR"/>
        </w:rPr>
        <w:t>Proportion de demande de contraception</w:t>
      </w:r>
    </w:p>
    <w:p w:rsidR="001D71AD" w:rsidRDefault="001D71AD" w:rsidP="00DB4B8A">
      <w:pPr>
        <w:ind w:left="1080" w:right="720"/>
        <w:jc w:val="both"/>
        <w:rPr>
          <w:lang w:val="fr-FR"/>
        </w:rPr>
      </w:pPr>
      <w:r>
        <w:rPr>
          <w:lang w:val="fr-FR"/>
        </w:rPr>
        <w:t>moderne satisfaite 20 %                                                 Proportion d’accouchements en</w:t>
      </w:r>
    </w:p>
    <w:p w:rsidR="001D71AD" w:rsidRDefault="001D71AD" w:rsidP="00C8484A">
      <w:pPr>
        <w:ind w:left="5355" w:right="720" w:firstLine="345"/>
        <w:jc w:val="both"/>
        <w:rPr>
          <w:lang w:val="fr-FR"/>
        </w:rPr>
      </w:pPr>
      <w:r>
        <w:rPr>
          <w:lang w:val="fr-FR"/>
        </w:rPr>
        <w:t>présence de personnel médical qualifié pour le quintile le plus pauvre de la population 20 %</w:t>
      </w:r>
    </w:p>
    <w:p w:rsidR="001D71AD" w:rsidRDefault="001D71AD" w:rsidP="00C8484A">
      <w:pPr>
        <w:ind w:left="5355" w:right="720" w:firstLine="345"/>
        <w:jc w:val="both"/>
        <w:rPr>
          <w:lang w:val="fr-FR"/>
        </w:rPr>
      </w:pPr>
    </w:p>
    <w:p w:rsidR="001D71AD" w:rsidRDefault="001D71AD" w:rsidP="00C8484A">
      <w:pPr>
        <w:ind w:right="720"/>
        <w:jc w:val="both"/>
        <w:rPr>
          <w:lang w:val="fr-FR"/>
        </w:rPr>
      </w:pPr>
      <w:r>
        <w:rPr>
          <w:lang w:val="fr-FR"/>
        </w:rPr>
        <w:tab/>
      </w:r>
      <w:r>
        <w:rPr>
          <w:lang w:val="fr-FR"/>
        </w:rPr>
        <w:tab/>
        <w:t>Index d’inégalité des sexes 15 %</w:t>
      </w:r>
      <w:r>
        <w:rPr>
          <w:lang w:val="fr-FR"/>
        </w:rPr>
        <w:tab/>
      </w:r>
      <w:r>
        <w:rPr>
          <w:lang w:val="fr-FR"/>
        </w:rPr>
        <w:tab/>
      </w:r>
      <w:r>
        <w:rPr>
          <w:lang w:val="fr-FR"/>
        </w:rPr>
        <w:tab/>
      </w:r>
      <w:r>
        <w:rPr>
          <w:lang w:val="fr-FR"/>
        </w:rPr>
        <w:tab/>
      </w:r>
      <w:r>
        <w:rPr>
          <w:lang w:val="fr-FR"/>
        </w:rPr>
        <w:tab/>
        <w:t>Prévalence du VIH chez</w:t>
      </w:r>
    </w:p>
    <w:p w:rsidR="001D71AD" w:rsidRPr="00C8484A" w:rsidRDefault="001D71AD" w:rsidP="00C8484A">
      <w:pPr>
        <w:ind w:left="5225" w:right="720" w:firstLine="475"/>
        <w:jc w:val="both"/>
        <w:rPr>
          <w:lang w:val="fr-FR"/>
        </w:rPr>
      </w:pPr>
      <w:r>
        <w:rPr>
          <w:lang w:val="fr-FR"/>
        </w:rPr>
        <w:t>les 15-24 ans 5 %</w:t>
      </w:r>
    </w:p>
    <w:p w:rsidR="001D71AD" w:rsidRPr="00C8484A" w:rsidRDefault="001D71AD" w:rsidP="00DB4B8A">
      <w:pPr>
        <w:ind w:left="1080" w:right="720"/>
        <w:jc w:val="both"/>
        <w:rPr>
          <w:lang w:val="fr-FR"/>
        </w:rPr>
      </w:pPr>
    </w:p>
    <w:p w:rsidR="001D71AD" w:rsidRPr="008E085E" w:rsidRDefault="001D71AD" w:rsidP="00BB13A1">
      <w:pPr>
        <w:numPr>
          <w:ilvl w:val="0"/>
          <w:numId w:val="4"/>
        </w:numPr>
        <w:ind w:left="1080" w:right="720" w:firstLine="0"/>
        <w:jc w:val="both"/>
        <w:rPr>
          <w:lang w:val="fr-FR"/>
        </w:rPr>
      </w:pPr>
      <w:r w:rsidRPr="008E085E">
        <w:rPr>
          <w:lang w:val="fr-FR"/>
        </w:rPr>
        <w:t>Cette pondération reflète les domaines de travail privilégiés par l’UNFPA : santé sexuelle et reproductive, adole</w:t>
      </w:r>
      <w:r>
        <w:rPr>
          <w:lang w:val="fr-FR"/>
        </w:rPr>
        <w:t>s</w:t>
      </w:r>
      <w:r w:rsidRPr="008E085E">
        <w:rPr>
          <w:lang w:val="fr-FR"/>
        </w:rPr>
        <w:t xml:space="preserve">cents et jeunes </w:t>
      </w:r>
      <w:r>
        <w:rPr>
          <w:lang w:val="fr-FR"/>
        </w:rPr>
        <w:t>et femmes comme l’indique la cible</w:t>
      </w:r>
      <w:r w:rsidRPr="008E085E">
        <w:rPr>
          <w:lang w:val="fr-FR"/>
        </w:rPr>
        <w:t>.</w:t>
      </w:r>
    </w:p>
    <w:p w:rsidR="001D71AD" w:rsidRPr="008E085E" w:rsidRDefault="001D71AD" w:rsidP="004D482C">
      <w:pPr>
        <w:ind w:right="720"/>
        <w:jc w:val="both"/>
        <w:rPr>
          <w:lang w:val="fr-FR"/>
        </w:rPr>
      </w:pPr>
    </w:p>
    <w:p w:rsidR="001D71AD" w:rsidRPr="007122F0" w:rsidRDefault="001D71AD" w:rsidP="00BB13A1">
      <w:pPr>
        <w:numPr>
          <w:ilvl w:val="0"/>
          <w:numId w:val="4"/>
        </w:numPr>
        <w:ind w:left="1080" w:right="720" w:firstLine="0"/>
        <w:jc w:val="both"/>
        <w:rPr>
          <w:lang w:val="fr-FR"/>
        </w:rPr>
      </w:pPr>
      <w:r w:rsidRPr="00816B54">
        <w:rPr>
          <w:lang w:val="fr-FR"/>
        </w:rPr>
        <w:t xml:space="preserve">Ces pourcentages reflètent le maximum de points accordés à un pays </w:t>
      </w:r>
      <w:r>
        <w:rPr>
          <w:lang w:val="fr-FR"/>
        </w:rPr>
        <w:t>connaissant</w:t>
      </w:r>
      <w:r w:rsidRPr="00816B54">
        <w:rPr>
          <w:lang w:val="fr-FR"/>
        </w:rPr>
        <w:t xml:space="preserve"> le besoin le plus </w:t>
      </w:r>
      <w:r>
        <w:rPr>
          <w:lang w:val="fr-FR"/>
        </w:rPr>
        <w:t xml:space="preserve">élevé pour un indicateur donné. </w:t>
      </w:r>
      <w:r w:rsidRPr="00816B54">
        <w:rPr>
          <w:lang w:val="fr-FR"/>
        </w:rPr>
        <w:t>Par exemple, le pays où est enregistré le</w:t>
      </w:r>
      <w:r>
        <w:rPr>
          <w:lang w:val="fr-FR"/>
        </w:rPr>
        <w:t xml:space="preserve"> pire</w:t>
      </w:r>
      <w:r w:rsidRPr="00816B54">
        <w:rPr>
          <w:lang w:val="fr-FR"/>
        </w:rPr>
        <w:t xml:space="preserve"> taux de mortalité maternelle </w:t>
      </w:r>
      <w:r>
        <w:rPr>
          <w:lang w:val="fr-FR"/>
        </w:rPr>
        <w:t xml:space="preserve">au monde (le Tchad), reçoit 20 points. </w:t>
      </w:r>
      <w:r w:rsidRPr="00816B54">
        <w:rPr>
          <w:lang w:val="fr-FR"/>
        </w:rPr>
        <w:t xml:space="preserve">Les pays qui ont un taux de mortalité maternelle moins élevé reçoivent naturellement </w:t>
      </w:r>
      <w:r>
        <w:rPr>
          <w:lang w:val="fr-FR"/>
        </w:rPr>
        <w:t xml:space="preserve">un plus petit nombre de points </w:t>
      </w:r>
      <w:r>
        <w:rPr>
          <w:lang w:val="fr-FR"/>
        </w:rPr>
        <w:lastRenderedPageBreak/>
        <w:t xml:space="preserve">que le Tchad pour cet indicateur. </w:t>
      </w:r>
      <w:r w:rsidRPr="008F04BD">
        <w:rPr>
          <w:lang w:val="fr-FR"/>
        </w:rPr>
        <w:t xml:space="preserve">Le nombre de points que chacun reçoit est </w:t>
      </w:r>
      <w:r>
        <w:rPr>
          <w:lang w:val="fr-FR"/>
        </w:rPr>
        <w:t>déterminé</w:t>
      </w:r>
      <w:r w:rsidRPr="008F04BD">
        <w:rPr>
          <w:lang w:val="fr-FR"/>
        </w:rPr>
        <w:t xml:space="preserve"> par le type d’inter</w:t>
      </w:r>
      <w:r>
        <w:rPr>
          <w:lang w:val="fr-FR"/>
        </w:rPr>
        <w:t>v</w:t>
      </w:r>
      <w:r w:rsidRPr="008F04BD">
        <w:rPr>
          <w:lang w:val="fr-FR"/>
        </w:rPr>
        <w:t xml:space="preserve">ention que l’UNFPA souhaite </w:t>
      </w:r>
      <w:r>
        <w:rPr>
          <w:lang w:val="fr-FR"/>
        </w:rPr>
        <w:t xml:space="preserve">effectuer dans un pays. </w:t>
      </w:r>
      <w:r w:rsidRPr="007E65D8">
        <w:rPr>
          <w:lang w:val="fr-FR"/>
        </w:rPr>
        <w:t xml:space="preserve">La typologie des interventions est décrite plus en </w:t>
      </w:r>
      <w:r>
        <w:rPr>
          <w:lang w:val="fr-FR"/>
        </w:rPr>
        <w:t>dé</w:t>
      </w:r>
      <w:r w:rsidRPr="007E65D8">
        <w:rPr>
          <w:lang w:val="fr-FR"/>
        </w:rPr>
        <w:t>tail dans l’annexe sur le mo</w:t>
      </w:r>
      <w:r>
        <w:rPr>
          <w:lang w:val="fr-FR"/>
        </w:rPr>
        <w:t>d</w:t>
      </w:r>
      <w:r w:rsidRPr="007E65D8">
        <w:rPr>
          <w:lang w:val="fr-FR"/>
        </w:rPr>
        <w:t xml:space="preserve">èle d’activité </w:t>
      </w:r>
      <w:r>
        <w:rPr>
          <w:lang w:val="fr-FR"/>
        </w:rPr>
        <w:t xml:space="preserve">car la méthode proposée pour le SAR s’appuie directement sur le cadre conceptuel établi dans </w:t>
      </w:r>
      <w:r w:rsidRPr="007122F0">
        <w:rPr>
          <w:lang w:val="fr-FR"/>
        </w:rPr>
        <w:t>le modèle de gestion:</w:t>
      </w:r>
    </w:p>
    <w:p w:rsidR="001D71AD" w:rsidRPr="00DA6329" w:rsidRDefault="001D71AD" w:rsidP="00BB13A1">
      <w:pPr>
        <w:numPr>
          <w:ilvl w:val="0"/>
          <w:numId w:val="14"/>
        </w:numPr>
        <w:ind w:right="720"/>
        <w:jc w:val="both"/>
        <w:rPr>
          <w:lang w:val="fr-FR"/>
        </w:rPr>
      </w:pPr>
      <w:r w:rsidRPr="00DA6329">
        <w:rPr>
          <w:lang w:val="fr-FR"/>
        </w:rPr>
        <w:t>Dans les c</w:t>
      </w:r>
      <w:r>
        <w:rPr>
          <w:lang w:val="fr-FR"/>
        </w:rPr>
        <w:t>ontextes</w:t>
      </w:r>
      <w:r w:rsidRPr="00DA6329">
        <w:rPr>
          <w:lang w:val="fr-FR"/>
        </w:rPr>
        <w:t xml:space="preserve"> de </w:t>
      </w:r>
      <w:r>
        <w:rPr>
          <w:lang w:val="fr-FR"/>
        </w:rPr>
        <w:t xml:space="preserve">très </w:t>
      </w:r>
      <w:r w:rsidRPr="00DA6329">
        <w:rPr>
          <w:lang w:val="fr-FR"/>
        </w:rPr>
        <w:t>gran</w:t>
      </w:r>
      <w:r>
        <w:rPr>
          <w:lang w:val="fr-FR"/>
        </w:rPr>
        <w:t>d</w:t>
      </w:r>
      <w:r w:rsidRPr="00DA6329">
        <w:rPr>
          <w:lang w:val="fr-FR"/>
        </w:rPr>
        <w:t xml:space="preserve">s besoins, l’UNFPA </w:t>
      </w:r>
      <w:r>
        <w:rPr>
          <w:lang w:val="fr-FR"/>
        </w:rPr>
        <w:t>exé</w:t>
      </w:r>
      <w:r w:rsidRPr="00DA6329">
        <w:rPr>
          <w:lang w:val="fr-FR"/>
        </w:rPr>
        <w:t>cute souvent une gamme compl</w:t>
      </w:r>
      <w:r>
        <w:rPr>
          <w:lang w:val="fr-FR"/>
        </w:rPr>
        <w:t>è</w:t>
      </w:r>
      <w:r w:rsidRPr="00DA6329">
        <w:rPr>
          <w:lang w:val="fr-FR"/>
        </w:rPr>
        <w:t>te d’interventions allant d</w:t>
      </w:r>
      <w:r>
        <w:rPr>
          <w:lang w:val="fr-FR"/>
        </w:rPr>
        <w:t xml:space="preserve">u plaidoyer et du dialogue/conseil sur les politiques, la gestion des connaissances et du renforcement des capacités à la prestation de services ; </w:t>
      </w:r>
    </w:p>
    <w:p w:rsidR="001D71AD" w:rsidRDefault="001D71AD" w:rsidP="00BB13A1">
      <w:pPr>
        <w:numPr>
          <w:ilvl w:val="0"/>
          <w:numId w:val="14"/>
        </w:numPr>
        <w:ind w:right="720"/>
        <w:jc w:val="both"/>
        <w:rPr>
          <w:lang w:val="fr-FR"/>
        </w:rPr>
      </w:pPr>
      <w:r w:rsidRPr="009B3FD2">
        <w:rPr>
          <w:lang w:val="fr-FR"/>
        </w:rPr>
        <w:t>Dans les c</w:t>
      </w:r>
      <w:r>
        <w:rPr>
          <w:lang w:val="fr-FR"/>
        </w:rPr>
        <w:t>ontextes</w:t>
      </w:r>
      <w:r w:rsidRPr="009B3FD2">
        <w:rPr>
          <w:lang w:val="fr-FR"/>
        </w:rPr>
        <w:t xml:space="preserve"> de grands besoins, l’UNFPA ne met généralement pas l’accent sur la </w:t>
      </w:r>
      <w:r>
        <w:rPr>
          <w:lang w:val="fr-FR"/>
        </w:rPr>
        <w:t>prestation</w:t>
      </w:r>
      <w:r w:rsidRPr="009B3FD2">
        <w:rPr>
          <w:lang w:val="fr-FR"/>
        </w:rPr>
        <w:t xml:space="preserve"> de services mais prend part aux trois autres stratégies de programme</w:t>
      </w:r>
      <w:r>
        <w:rPr>
          <w:lang w:val="fr-FR"/>
        </w:rPr>
        <w:t> ;</w:t>
      </w:r>
    </w:p>
    <w:p w:rsidR="001D71AD" w:rsidRPr="009B3FD2" w:rsidRDefault="001D71AD" w:rsidP="00BB13A1">
      <w:pPr>
        <w:numPr>
          <w:ilvl w:val="0"/>
          <w:numId w:val="14"/>
        </w:numPr>
        <w:ind w:right="720"/>
        <w:jc w:val="both"/>
        <w:rPr>
          <w:lang w:val="fr-FR"/>
        </w:rPr>
      </w:pPr>
      <w:r w:rsidRPr="009B3FD2">
        <w:rPr>
          <w:lang w:val="fr-FR"/>
        </w:rPr>
        <w:t>Dans les c</w:t>
      </w:r>
      <w:r>
        <w:rPr>
          <w:lang w:val="fr-FR"/>
        </w:rPr>
        <w:t>ontextes</w:t>
      </w:r>
      <w:r w:rsidRPr="009B3FD2">
        <w:rPr>
          <w:lang w:val="fr-FR"/>
        </w:rPr>
        <w:t xml:space="preserve"> de besoins moyens, l’UNPFA se concentre g</w:t>
      </w:r>
      <w:r>
        <w:rPr>
          <w:lang w:val="fr-FR"/>
        </w:rPr>
        <w:t>énéralement sur le plaidoyer et le dialogue/le conseil de politique et la gestion des connaissances</w:t>
      </w:r>
      <w:r w:rsidRPr="009B3FD2">
        <w:rPr>
          <w:lang w:val="fr-FR"/>
        </w:rPr>
        <w:t>;</w:t>
      </w:r>
    </w:p>
    <w:p w:rsidR="001D71AD" w:rsidRPr="009B3FD2" w:rsidRDefault="001D71AD" w:rsidP="00BB13A1">
      <w:pPr>
        <w:numPr>
          <w:ilvl w:val="0"/>
          <w:numId w:val="14"/>
        </w:numPr>
        <w:ind w:right="720"/>
        <w:jc w:val="both"/>
        <w:rPr>
          <w:lang w:val="fr-FR"/>
        </w:rPr>
      </w:pPr>
      <w:r w:rsidRPr="009B3FD2">
        <w:rPr>
          <w:lang w:val="fr-FR"/>
        </w:rPr>
        <w:t>Dans les c</w:t>
      </w:r>
      <w:r>
        <w:rPr>
          <w:lang w:val="fr-FR"/>
        </w:rPr>
        <w:t>ontextes</w:t>
      </w:r>
      <w:r w:rsidRPr="009B3FD2">
        <w:rPr>
          <w:lang w:val="fr-FR"/>
        </w:rPr>
        <w:t xml:space="preserve"> de faible besoin, l’UNFPA intervient uniquement dans les domaines du plaidoyer et du dialogue/conseils sur la politique.</w:t>
      </w:r>
    </w:p>
    <w:p w:rsidR="001D71AD" w:rsidRPr="009B3FD2" w:rsidRDefault="001D71AD" w:rsidP="00950295">
      <w:pPr>
        <w:ind w:left="1080" w:right="720"/>
        <w:jc w:val="both"/>
        <w:rPr>
          <w:lang w:val="fr-FR"/>
        </w:rPr>
      </w:pPr>
    </w:p>
    <w:p w:rsidR="001D71AD" w:rsidRPr="00166F79" w:rsidRDefault="001D71AD" w:rsidP="00BB13A1">
      <w:pPr>
        <w:numPr>
          <w:ilvl w:val="0"/>
          <w:numId w:val="4"/>
        </w:numPr>
        <w:ind w:left="1080" w:right="720" w:firstLine="0"/>
        <w:jc w:val="both"/>
        <w:rPr>
          <w:lang w:val="fr-FR"/>
        </w:rPr>
      </w:pPr>
      <w:r w:rsidRPr="00D836F3">
        <w:rPr>
          <w:lang w:val="fr-FR"/>
        </w:rPr>
        <w:t>Ces différents modes d’engagement déterminent la quantité de points attribuée à chaque quartile de besoin : du fait que l’UNFPA procurer</w:t>
      </w:r>
      <w:r>
        <w:rPr>
          <w:lang w:val="fr-FR"/>
        </w:rPr>
        <w:t>a</w:t>
      </w:r>
      <w:r w:rsidRPr="00D836F3">
        <w:rPr>
          <w:lang w:val="fr-FR"/>
        </w:rPr>
        <w:t xml:space="preserve"> un ensemble complet de services dans les pays </w:t>
      </w:r>
      <w:r>
        <w:rPr>
          <w:lang w:val="fr-FR"/>
        </w:rPr>
        <w:t xml:space="preserve">à très </w:t>
      </w:r>
      <w:r w:rsidRPr="00D836F3">
        <w:rPr>
          <w:lang w:val="fr-FR"/>
        </w:rPr>
        <w:t>grand</w:t>
      </w:r>
      <w:r>
        <w:rPr>
          <w:lang w:val="fr-FR"/>
        </w:rPr>
        <w:t>s</w:t>
      </w:r>
      <w:r w:rsidRPr="00D836F3">
        <w:rPr>
          <w:lang w:val="fr-FR"/>
        </w:rPr>
        <w:t xml:space="preserve"> besoin</w:t>
      </w:r>
      <w:r>
        <w:rPr>
          <w:lang w:val="fr-FR"/>
        </w:rPr>
        <w:t>s</w:t>
      </w:r>
      <w:r w:rsidRPr="00D836F3">
        <w:rPr>
          <w:lang w:val="fr-FR"/>
        </w:rPr>
        <w:t xml:space="preserve">, </w:t>
      </w:r>
      <w:r>
        <w:rPr>
          <w:lang w:val="fr-FR"/>
        </w:rPr>
        <w:t xml:space="preserve">les pays de ce quartile se voient attribuer le nombre maximum de points pour un indicateur particulier (dans le cas de la mortalité maternelle, 20). </w:t>
      </w:r>
      <w:r w:rsidRPr="00540098">
        <w:rPr>
          <w:lang w:val="fr-FR"/>
        </w:rPr>
        <w:t>À l’inverse, dans les context</w:t>
      </w:r>
      <w:r>
        <w:rPr>
          <w:lang w:val="fr-FR"/>
        </w:rPr>
        <w:t>e</w:t>
      </w:r>
      <w:r w:rsidRPr="00540098">
        <w:rPr>
          <w:lang w:val="fr-FR"/>
        </w:rPr>
        <w:t xml:space="preserve">s de grands besoins, et non plus de très grands besoins, l’UNFPA s’engage généralement dans toutes les </w:t>
      </w:r>
      <w:r>
        <w:rPr>
          <w:lang w:val="fr-FR"/>
        </w:rPr>
        <w:t>straté</w:t>
      </w:r>
      <w:r w:rsidRPr="00540098">
        <w:rPr>
          <w:lang w:val="fr-FR"/>
        </w:rPr>
        <w:t xml:space="preserve">gies du programme à l’exception de la </w:t>
      </w:r>
      <w:r>
        <w:rPr>
          <w:lang w:val="fr-FR"/>
        </w:rPr>
        <w:t xml:space="preserve">prestation </w:t>
      </w:r>
      <w:r w:rsidRPr="00540098">
        <w:rPr>
          <w:lang w:val="fr-FR"/>
        </w:rPr>
        <w:t>de ser</w:t>
      </w:r>
      <w:r>
        <w:rPr>
          <w:lang w:val="fr-FR"/>
        </w:rPr>
        <w:t>vices ; laprestation de services étant onéreuse, ce</w:t>
      </w:r>
      <w:r w:rsidRPr="00166F79">
        <w:rPr>
          <w:lang w:val="fr-FR"/>
        </w:rPr>
        <w:t xml:space="preserve"> retrait diminue le nombre de points attribués à un pays à grands besoins.Dans le cas de mortalité maternelle, ces pays ne reçoivent que 12 points. Pour les pays à besoins moyens et ne recevant de ce fait, que le plaidoyer et le dialogue de politique/les conseils et la gestion des connaissances, 6 points sont attribués alors que les pays de faible</w:t>
      </w:r>
      <w:r>
        <w:rPr>
          <w:lang w:val="fr-FR"/>
        </w:rPr>
        <w:t>s</w:t>
      </w:r>
      <w:r w:rsidRPr="00166F79">
        <w:rPr>
          <w:lang w:val="fr-FR"/>
        </w:rPr>
        <w:t xml:space="preserve"> besoins dans lesquels l’UNFPA ne</w:t>
      </w:r>
      <w:r>
        <w:rPr>
          <w:lang w:val="fr-FR"/>
        </w:rPr>
        <w:t xml:space="preserve"> procure que le plaidoyer et le dialogue de politique/les conseils</w:t>
      </w:r>
      <w:r w:rsidRPr="00166F79">
        <w:rPr>
          <w:lang w:val="fr-FR"/>
        </w:rPr>
        <w:t>,</w:t>
      </w:r>
      <w:r>
        <w:rPr>
          <w:lang w:val="fr-FR"/>
        </w:rPr>
        <w:t xml:space="preserve"> ne reçoivent pas de points de besoin </w:t>
      </w:r>
      <w:r w:rsidRPr="00166F79">
        <w:rPr>
          <w:lang w:val="fr-FR"/>
        </w:rPr>
        <w:t>(z</w:t>
      </w:r>
      <w:r>
        <w:rPr>
          <w:lang w:val="fr-FR"/>
        </w:rPr>
        <w:t>é</w:t>
      </w:r>
      <w:r w:rsidRPr="00166F79">
        <w:rPr>
          <w:lang w:val="fr-FR"/>
        </w:rPr>
        <w:t xml:space="preserve">ro points </w:t>
      </w:r>
      <w:r>
        <w:rPr>
          <w:lang w:val="fr-FR"/>
        </w:rPr>
        <w:t xml:space="preserve">sont attribués car la capacité de base de gérer le plaidoyer et le dialogue/l’avis de politique est prise en compte ailleurs dans le modèle comme cela est décrit ci-dessous. </w:t>
      </w:r>
    </w:p>
    <w:p w:rsidR="001D71AD" w:rsidRPr="00166F79" w:rsidRDefault="001D71AD" w:rsidP="00950295">
      <w:pPr>
        <w:ind w:left="1080" w:right="720"/>
        <w:jc w:val="both"/>
        <w:rPr>
          <w:lang w:val="fr-FR"/>
        </w:rPr>
      </w:pPr>
    </w:p>
    <w:p w:rsidR="001D71AD" w:rsidRPr="001C47D6" w:rsidRDefault="001D71AD" w:rsidP="00BB13A1">
      <w:pPr>
        <w:numPr>
          <w:ilvl w:val="0"/>
          <w:numId w:val="4"/>
        </w:numPr>
        <w:ind w:left="1080" w:right="720" w:firstLine="0"/>
        <w:jc w:val="both"/>
        <w:rPr>
          <w:lang w:val="fr-FR"/>
        </w:rPr>
      </w:pPr>
      <w:r w:rsidRPr="001C47D6">
        <w:rPr>
          <w:lang w:val="fr-FR"/>
        </w:rPr>
        <w:t>Il est possible, en utilisant cette méthode, d’attribuer un score à chaque pays dans lequel l</w:t>
      </w:r>
      <w:r>
        <w:rPr>
          <w:lang w:val="fr-FR"/>
        </w:rPr>
        <w:t>’</w:t>
      </w:r>
      <w:r w:rsidRPr="001C47D6">
        <w:rPr>
          <w:lang w:val="fr-FR"/>
        </w:rPr>
        <w:t xml:space="preserve">UNFPA </w:t>
      </w:r>
      <w:r>
        <w:rPr>
          <w:lang w:val="fr-FR"/>
        </w:rPr>
        <w:t xml:space="preserve">exerce des activités, comme dans les exemples du tableau </w:t>
      </w:r>
      <w:r w:rsidRPr="001C47D6">
        <w:rPr>
          <w:lang w:val="fr-FR"/>
        </w:rPr>
        <w:t>5.</w:t>
      </w:r>
    </w:p>
    <w:p w:rsidR="001D71AD" w:rsidRPr="001C47D6" w:rsidRDefault="001D71AD" w:rsidP="00FD0663">
      <w:pPr>
        <w:ind w:left="1620" w:right="720"/>
        <w:jc w:val="both"/>
        <w:rPr>
          <w:lang w:val="fr-FR"/>
        </w:rPr>
      </w:pPr>
    </w:p>
    <w:p w:rsidR="001D71AD" w:rsidRPr="001C47D6" w:rsidRDefault="001D71AD" w:rsidP="00DB4B8A">
      <w:pPr>
        <w:ind w:left="1080" w:right="720"/>
        <w:jc w:val="both"/>
        <w:rPr>
          <w:lang w:val="fr-FR"/>
        </w:rPr>
      </w:pPr>
      <w:r w:rsidRPr="001C47D6">
        <w:rPr>
          <w:b/>
          <w:lang w:val="fr-FR"/>
        </w:rPr>
        <w:t xml:space="preserve">Tableau 5: Exemples de système basé sur les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900"/>
        <w:gridCol w:w="635"/>
        <w:gridCol w:w="715"/>
        <w:gridCol w:w="551"/>
        <w:gridCol w:w="709"/>
        <w:gridCol w:w="556"/>
        <w:gridCol w:w="704"/>
        <w:gridCol w:w="562"/>
        <w:gridCol w:w="698"/>
        <w:gridCol w:w="567"/>
        <w:gridCol w:w="693"/>
        <w:gridCol w:w="573"/>
        <w:gridCol w:w="705"/>
      </w:tblGrid>
      <w:tr w:rsidR="001D71AD" w:rsidRPr="00AE3D84" w:rsidTr="001C47D6">
        <w:tc>
          <w:tcPr>
            <w:tcW w:w="1008" w:type="dxa"/>
          </w:tcPr>
          <w:p w:rsidR="001D71AD" w:rsidRPr="00AE3D84" w:rsidRDefault="001D71AD" w:rsidP="00DF6B08">
            <w:pPr>
              <w:jc w:val="both"/>
              <w:rPr>
                <w:b/>
                <w:sz w:val="18"/>
                <w:szCs w:val="24"/>
                <w:lang w:val="fr-CA"/>
              </w:rPr>
            </w:pPr>
          </w:p>
        </w:tc>
        <w:tc>
          <w:tcPr>
            <w:tcW w:w="1535" w:type="dxa"/>
            <w:gridSpan w:val="2"/>
          </w:tcPr>
          <w:p w:rsidR="001D71AD" w:rsidRPr="00AE3D84" w:rsidRDefault="001D71AD" w:rsidP="00FD4EAA">
            <w:pPr>
              <w:rPr>
                <w:b/>
                <w:sz w:val="16"/>
                <w:szCs w:val="16"/>
                <w:lang w:val="fr-CA"/>
              </w:rPr>
            </w:pPr>
            <w:r w:rsidRPr="00AE3D84">
              <w:rPr>
                <w:b/>
                <w:sz w:val="16"/>
                <w:szCs w:val="16"/>
                <w:lang w:val="fr-CA"/>
              </w:rPr>
              <w:t>Proportion d’accouchements en présence de personnel médical qualifié pour le quintile le plus pauvre de la population</w:t>
            </w:r>
          </w:p>
        </w:tc>
        <w:tc>
          <w:tcPr>
            <w:tcW w:w="1266" w:type="dxa"/>
            <w:gridSpan w:val="2"/>
          </w:tcPr>
          <w:p w:rsidR="001D71AD" w:rsidRPr="00AE3D84" w:rsidRDefault="001D71AD" w:rsidP="001C47D6">
            <w:pPr>
              <w:rPr>
                <w:b/>
                <w:sz w:val="16"/>
                <w:szCs w:val="16"/>
                <w:lang w:val="fr-CA"/>
              </w:rPr>
            </w:pPr>
            <w:r w:rsidRPr="00AE3D84">
              <w:rPr>
                <w:b/>
                <w:sz w:val="16"/>
                <w:szCs w:val="16"/>
                <w:lang w:val="fr-CA"/>
              </w:rPr>
              <w:t xml:space="preserve">Taux de mortalité maternelle </w:t>
            </w:r>
          </w:p>
        </w:tc>
        <w:tc>
          <w:tcPr>
            <w:tcW w:w="1265" w:type="dxa"/>
            <w:gridSpan w:val="2"/>
          </w:tcPr>
          <w:p w:rsidR="001D71AD" w:rsidRDefault="001D71AD" w:rsidP="001C47D6">
            <w:pPr>
              <w:rPr>
                <w:b/>
                <w:sz w:val="16"/>
                <w:szCs w:val="16"/>
                <w:lang w:val="fr-CA"/>
              </w:rPr>
            </w:pPr>
            <w:r w:rsidRPr="00C54E1A">
              <w:rPr>
                <w:b/>
                <w:sz w:val="16"/>
                <w:szCs w:val="16"/>
                <w:lang w:val="fr-CA"/>
              </w:rPr>
              <w:t>Taux de fertilité chez les adolescentes</w:t>
            </w:r>
          </w:p>
          <w:p w:rsidR="001D71AD" w:rsidRPr="00C54E1A" w:rsidRDefault="001D71AD" w:rsidP="001C47D6">
            <w:pPr>
              <w:rPr>
                <w:sz w:val="16"/>
                <w:szCs w:val="16"/>
                <w:lang w:val="en-US"/>
              </w:rPr>
            </w:pPr>
            <w:r w:rsidRPr="00C54E1A">
              <w:rPr>
                <w:b/>
                <w:sz w:val="16"/>
                <w:szCs w:val="16"/>
                <w:lang w:val="en-US"/>
              </w:rPr>
              <w:t xml:space="preserve">Do we really mean adolescent birth rate? </w:t>
            </w:r>
            <w:r>
              <w:rPr>
                <w:b/>
                <w:sz w:val="16"/>
                <w:szCs w:val="16"/>
                <w:lang w:val="en-US"/>
              </w:rPr>
              <w:t>See original Engl doc, or we mean adolescent fertility rate?</w:t>
            </w:r>
          </w:p>
        </w:tc>
        <w:tc>
          <w:tcPr>
            <w:tcW w:w="1266" w:type="dxa"/>
            <w:gridSpan w:val="2"/>
          </w:tcPr>
          <w:p w:rsidR="001D71AD" w:rsidRPr="00AE3D84" w:rsidRDefault="001D71AD" w:rsidP="001C47D6">
            <w:pPr>
              <w:jc w:val="both"/>
              <w:rPr>
                <w:b/>
                <w:sz w:val="16"/>
                <w:szCs w:val="16"/>
                <w:lang w:val="fr-CA"/>
              </w:rPr>
            </w:pPr>
            <w:r w:rsidRPr="00AE3D84">
              <w:rPr>
                <w:b/>
                <w:sz w:val="16"/>
                <w:szCs w:val="16"/>
                <w:lang w:val="fr-CA"/>
              </w:rPr>
              <w:t>Proportion de la demande de contraception moderne satisfaite</w:t>
            </w:r>
          </w:p>
        </w:tc>
        <w:tc>
          <w:tcPr>
            <w:tcW w:w="1265" w:type="dxa"/>
            <w:gridSpan w:val="2"/>
          </w:tcPr>
          <w:p w:rsidR="001D71AD" w:rsidRPr="00AE3D84" w:rsidRDefault="001D71AD" w:rsidP="009B124A">
            <w:pPr>
              <w:jc w:val="both"/>
              <w:rPr>
                <w:b/>
                <w:sz w:val="16"/>
                <w:szCs w:val="16"/>
                <w:lang w:val="fr-CA"/>
              </w:rPr>
            </w:pPr>
            <w:r w:rsidRPr="00AE3D84">
              <w:rPr>
                <w:b/>
                <w:sz w:val="16"/>
                <w:szCs w:val="16"/>
                <w:lang w:val="fr-CA"/>
              </w:rPr>
              <w:t>Prévalence du VIH chez les 15 à 24 ans</w:t>
            </w:r>
          </w:p>
        </w:tc>
        <w:tc>
          <w:tcPr>
            <w:tcW w:w="1266" w:type="dxa"/>
            <w:gridSpan w:val="2"/>
          </w:tcPr>
          <w:p w:rsidR="001D71AD" w:rsidRPr="00AE3D84" w:rsidRDefault="001D71AD" w:rsidP="009B124A">
            <w:pPr>
              <w:jc w:val="both"/>
              <w:rPr>
                <w:b/>
                <w:sz w:val="16"/>
                <w:szCs w:val="16"/>
                <w:lang w:val="fr-CA"/>
              </w:rPr>
            </w:pPr>
            <w:r w:rsidRPr="00AE3D84">
              <w:rPr>
                <w:b/>
                <w:sz w:val="16"/>
                <w:szCs w:val="16"/>
                <w:lang w:val="fr-CA"/>
              </w:rPr>
              <w:t>Index d’inégalité des sexes</w:t>
            </w:r>
          </w:p>
        </w:tc>
        <w:tc>
          <w:tcPr>
            <w:tcW w:w="705" w:type="dxa"/>
          </w:tcPr>
          <w:p w:rsidR="001D71AD" w:rsidRPr="00AE3D84" w:rsidRDefault="001D71AD" w:rsidP="00DF6B08">
            <w:pPr>
              <w:jc w:val="both"/>
              <w:rPr>
                <w:b/>
                <w:sz w:val="16"/>
                <w:szCs w:val="16"/>
                <w:lang w:val="fr-CA"/>
              </w:rPr>
            </w:pPr>
            <w:r w:rsidRPr="00AE3D84">
              <w:rPr>
                <w:b/>
                <w:sz w:val="16"/>
                <w:szCs w:val="16"/>
                <w:lang w:val="fr-CA"/>
              </w:rPr>
              <w:t>Total des points</w:t>
            </w:r>
          </w:p>
        </w:tc>
      </w:tr>
      <w:tr w:rsidR="001D71AD" w:rsidRPr="00AE3D84" w:rsidTr="001C47D6">
        <w:tc>
          <w:tcPr>
            <w:tcW w:w="1008" w:type="dxa"/>
          </w:tcPr>
          <w:p w:rsidR="001D71AD" w:rsidRPr="00AE3D84" w:rsidRDefault="001D71AD" w:rsidP="009B124A">
            <w:pPr>
              <w:jc w:val="both"/>
              <w:rPr>
                <w:b/>
                <w:sz w:val="16"/>
                <w:szCs w:val="16"/>
                <w:lang w:val="fr-CA"/>
              </w:rPr>
            </w:pPr>
            <w:r w:rsidRPr="00AE3D84">
              <w:rPr>
                <w:b/>
                <w:sz w:val="16"/>
                <w:szCs w:val="16"/>
                <w:lang w:val="fr-CA"/>
              </w:rPr>
              <w:t>Pays</w:t>
            </w:r>
          </w:p>
        </w:tc>
        <w:tc>
          <w:tcPr>
            <w:tcW w:w="900" w:type="dxa"/>
          </w:tcPr>
          <w:p w:rsidR="001D71AD" w:rsidRPr="00AE3D84" w:rsidRDefault="001D71AD" w:rsidP="00DF6B08">
            <w:pPr>
              <w:jc w:val="both"/>
              <w:rPr>
                <w:b/>
                <w:sz w:val="16"/>
                <w:szCs w:val="16"/>
                <w:lang w:val="fr-CA"/>
              </w:rPr>
            </w:pPr>
            <w:r w:rsidRPr="00AE3D84">
              <w:rPr>
                <w:b/>
                <w:sz w:val="16"/>
                <w:szCs w:val="16"/>
                <w:lang w:val="fr-CA"/>
              </w:rPr>
              <w:t>Quadrant</w:t>
            </w:r>
          </w:p>
        </w:tc>
        <w:tc>
          <w:tcPr>
            <w:tcW w:w="635" w:type="dxa"/>
          </w:tcPr>
          <w:p w:rsidR="001D71AD" w:rsidRPr="00AE3D84" w:rsidRDefault="001D71AD" w:rsidP="00DF6B08">
            <w:pPr>
              <w:jc w:val="both"/>
              <w:rPr>
                <w:b/>
                <w:sz w:val="16"/>
                <w:szCs w:val="16"/>
                <w:lang w:val="fr-CA"/>
              </w:rPr>
            </w:pPr>
            <w:r w:rsidRPr="00AE3D84">
              <w:rPr>
                <w:b/>
                <w:sz w:val="16"/>
                <w:szCs w:val="16"/>
                <w:lang w:val="fr-CA"/>
              </w:rPr>
              <w:t>Points</w:t>
            </w:r>
          </w:p>
        </w:tc>
        <w:tc>
          <w:tcPr>
            <w:tcW w:w="715" w:type="dxa"/>
          </w:tcPr>
          <w:p w:rsidR="001D71AD" w:rsidRPr="00AE3D84" w:rsidRDefault="001D71AD" w:rsidP="00DF6B08">
            <w:pPr>
              <w:jc w:val="both"/>
              <w:rPr>
                <w:b/>
                <w:sz w:val="16"/>
                <w:szCs w:val="16"/>
                <w:lang w:val="fr-CA"/>
              </w:rPr>
            </w:pPr>
            <w:r w:rsidRPr="00AE3D84">
              <w:rPr>
                <w:b/>
                <w:sz w:val="16"/>
                <w:szCs w:val="16"/>
                <w:lang w:val="fr-CA"/>
              </w:rPr>
              <w:t>Quadrant</w:t>
            </w:r>
          </w:p>
        </w:tc>
        <w:tc>
          <w:tcPr>
            <w:tcW w:w="551" w:type="dxa"/>
          </w:tcPr>
          <w:p w:rsidR="001D71AD" w:rsidRPr="00AE3D84" w:rsidRDefault="001D71AD" w:rsidP="00DF6B08">
            <w:pPr>
              <w:jc w:val="both"/>
              <w:rPr>
                <w:b/>
                <w:sz w:val="16"/>
                <w:szCs w:val="16"/>
                <w:lang w:val="fr-CA"/>
              </w:rPr>
            </w:pPr>
            <w:r w:rsidRPr="00AE3D84">
              <w:rPr>
                <w:b/>
                <w:sz w:val="16"/>
                <w:szCs w:val="16"/>
                <w:lang w:val="fr-CA"/>
              </w:rPr>
              <w:t>Points</w:t>
            </w:r>
          </w:p>
        </w:tc>
        <w:tc>
          <w:tcPr>
            <w:tcW w:w="709" w:type="dxa"/>
          </w:tcPr>
          <w:p w:rsidR="001D71AD" w:rsidRPr="00AE3D84" w:rsidRDefault="001D71AD" w:rsidP="00DF6B08">
            <w:pPr>
              <w:jc w:val="both"/>
              <w:rPr>
                <w:b/>
                <w:sz w:val="16"/>
                <w:szCs w:val="16"/>
                <w:lang w:val="fr-CA"/>
              </w:rPr>
            </w:pPr>
            <w:r w:rsidRPr="00AE3D84">
              <w:rPr>
                <w:b/>
                <w:sz w:val="16"/>
                <w:szCs w:val="16"/>
                <w:lang w:val="fr-CA"/>
              </w:rPr>
              <w:t>Quadrant</w:t>
            </w:r>
          </w:p>
        </w:tc>
        <w:tc>
          <w:tcPr>
            <w:tcW w:w="556" w:type="dxa"/>
          </w:tcPr>
          <w:p w:rsidR="001D71AD" w:rsidRPr="00AE3D84" w:rsidRDefault="001D71AD" w:rsidP="00DF6B08">
            <w:pPr>
              <w:jc w:val="both"/>
              <w:rPr>
                <w:b/>
                <w:sz w:val="16"/>
                <w:szCs w:val="16"/>
                <w:lang w:val="fr-CA"/>
              </w:rPr>
            </w:pPr>
            <w:r w:rsidRPr="00AE3D84">
              <w:rPr>
                <w:b/>
                <w:sz w:val="16"/>
                <w:szCs w:val="16"/>
                <w:lang w:val="fr-CA"/>
              </w:rPr>
              <w:t>Points</w:t>
            </w:r>
          </w:p>
        </w:tc>
        <w:tc>
          <w:tcPr>
            <w:tcW w:w="704" w:type="dxa"/>
          </w:tcPr>
          <w:p w:rsidR="001D71AD" w:rsidRPr="00AE3D84" w:rsidRDefault="001D71AD" w:rsidP="00DF6B08">
            <w:pPr>
              <w:jc w:val="both"/>
              <w:rPr>
                <w:b/>
                <w:sz w:val="16"/>
                <w:szCs w:val="16"/>
                <w:lang w:val="fr-CA"/>
              </w:rPr>
            </w:pPr>
            <w:r w:rsidRPr="00AE3D84">
              <w:rPr>
                <w:b/>
                <w:sz w:val="16"/>
                <w:szCs w:val="16"/>
                <w:lang w:val="fr-CA"/>
              </w:rPr>
              <w:t>Quadrant</w:t>
            </w:r>
          </w:p>
        </w:tc>
        <w:tc>
          <w:tcPr>
            <w:tcW w:w="562" w:type="dxa"/>
          </w:tcPr>
          <w:p w:rsidR="001D71AD" w:rsidRPr="00AE3D84" w:rsidRDefault="001D71AD" w:rsidP="00DF6B08">
            <w:pPr>
              <w:jc w:val="both"/>
              <w:rPr>
                <w:b/>
                <w:sz w:val="16"/>
                <w:szCs w:val="16"/>
                <w:lang w:val="fr-CA"/>
              </w:rPr>
            </w:pPr>
            <w:r w:rsidRPr="00AE3D84">
              <w:rPr>
                <w:b/>
                <w:sz w:val="16"/>
                <w:szCs w:val="16"/>
                <w:lang w:val="fr-CA"/>
              </w:rPr>
              <w:t>Points</w:t>
            </w:r>
          </w:p>
        </w:tc>
        <w:tc>
          <w:tcPr>
            <w:tcW w:w="698" w:type="dxa"/>
          </w:tcPr>
          <w:p w:rsidR="001D71AD" w:rsidRPr="00AE3D84" w:rsidRDefault="001D71AD" w:rsidP="00DF6B08">
            <w:pPr>
              <w:jc w:val="both"/>
              <w:rPr>
                <w:b/>
                <w:sz w:val="16"/>
                <w:szCs w:val="16"/>
                <w:lang w:val="fr-CA"/>
              </w:rPr>
            </w:pPr>
            <w:r w:rsidRPr="00AE3D84">
              <w:rPr>
                <w:b/>
                <w:sz w:val="16"/>
                <w:szCs w:val="16"/>
                <w:lang w:val="fr-CA"/>
              </w:rPr>
              <w:t>Quadrant</w:t>
            </w:r>
          </w:p>
        </w:tc>
        <w:tc>
          <w:tcPr>
            <w:tcW w:w="567" w:type="dxa"/>
          </w:tcPr>
          <w:p w:rsidR="001D71AD" w:rsidRPr="00AE3D84" w:rsidRDefault="001D71AD" w:rsidP="00DF6B08">
            <w:pPr>
              <w:jc w:val="both"/>
              <w:rPr>
                <w:b/>
                <w:sz w:val="16"/>
                <w:szCs w:val="16"/>
                <w:lang w:val="fr-CA"/>
              </w:rPr>
            </w:pPr>
            <w:r w:rsidRPr="00AE3D84">
              <w:rPr>
                <w:b/>
                <w:sz w:val="16"/>
                <w:szCs w:val="16"/>
                <w:lang w:val="fr-CA"/>
              </w:rPr>
              <w:t>Points</w:t>
            </w:r>
          </w:p>
        </w:tc>
        <w:tc>
          <w:tcPr>
            <w:tcW w:w="693" w:type="dxa"/>
          </w:tcPr>
          <w:p w:rsidR="001D71AD" w:rsidRPr="00AE3D84" w:rsidRDefault="001D71AD" w:rsidP="00DF6B08">
            <w:pPr>
              <w:jc w:val="both"/>
              <w:rPr>
                <w:b/>
                <w:sz w:val="16"/>
                <w:szCs w:val="16"/>
                <w:lang w:val="fr-CA"/>
              </w:rPr>
            </w:pPr>
            <w:r w:rsidRPr="00AE3D84">
              <w:rPr>
                <w:b/>
                <w:sz w:val="16"/>
                <w:szCs w:val="16"/>
                <w:lang w:val="fr-CA"/>
              </w:rPr>
              <w:t>Quadrant</w:t>
            </w:r>
          </w:p>
        </w:tc>
        <w:tc>
          <w:tcPr>
            <w:tcW w:w="573" w:type="dxa"/>
          </w:tcPr>
          <w:p w:rsidR="001D71AD" w:rsidRPr="00AE3D84" w:rsidRDefault="001D71AD" w:rsidP="00DF6B08">
            <w:pPr>
              <w:jc w:val="both"/>
              <w:rPr>
                <w:b/>
                <w:sz w:val="16"/>
                <w:szCs w:val="16"/>
                <w:lang w:val="fr-CA"/>
              </w:rPr>
            </w:pPr>
            <w:r w:rsidRPr="00AE3D84">
              <w:rPr>
                <w:b/>
                <w:sz w:val="16"/>
                <w:szCs w:val="16"/>
                <w:lang w:val="fr-CA"/>
              </w:rPr>
              <w:t>Points</w:t>
            </w:r>
          </w:p>
        </w:tc>
        <w:tc>
          <w:tcPr>
            <w:tcW w:w="705" w:type="dxa"/>
          </w:tcPr>
          <w:p w:rsidR="001D71AD" w:rsidRPr="00AE3D84" w:rsidRDefault="001D71AD" w:rsidP="00DF6B08">
            <w:pPr>
              <w:jc w:val="both"/>
              <w:rPr>
                <w:b/>
                <w:sz w:val="16"/>
                <w:szCs w:val="16"/>
                <w:lang w:val="fr-CA"/>
              </w:rPr>
            </w:pPr>
          </w:p>
        </w:tc>
      </w:tr>
      <w:tr w:rsidR="001D71AD" w:rsidRPr="00AE3D84" w:rsidTr="001C47D6">
        <w:tc>
          <w:tcPr>
            <w:tcW w:w="1008" w:type="dxa"/>
          </w:tcPr>
          <w:p w:rsidR="001D71AD" w:rsidRPr="00AE3D84" w:rsidRDefault="001D71AD" w:rsidP="00DF6B08">
            <w:pPr>
              <w:jc w:val="both"/>
              <w:rPr>
                <w:sz w:val="16"/>
                <w:szCs w:val="16"/>
                <w:lang w:val="fr-CA"/>
              </w:rPr>
            </w:pPr>
            <w:r w:rsidRPr="00AE3D84">
              <w:rPr>
                <w:sz w:val="16"/>
                <w:szCs w:val="16"/>
                <w:lang w:val="fr-CA"/>
              </w:rPr>
              <w:t>Botswana</w:t>
            </w:r>
          </w:p>
        </w:tc>
        <w:tc>
          <w:tcPr>
            <w:tcW w:w="900" w:type="dxa"/>
          </w:tcPr>
          <w:p w:rsidR="001D71AD" w:rsidRPr="00AE3D84" w:rsidRDefault="001D71AD" w:rsidP="009B124A">
            <w:pPr>
              <w:jc w:val="both"/>
              <w:rPr>
                <w:sz w:val="16"/>
                <w:szCs w:val="16"/>
                <w:lang w:val="fr-CA"/>
              </w:rPr>
            </w:pPr>
            <w:r w:rsidRPr="00AE3D84">
              <w:rPr>
                <w:sz w:val="16"/>
                <w:szCs w:val="16"/>
                <w:lang w:val="fr-CA"/>
              </w:rPr>
              <w:t>Faible</w:t>
            </w:r>
          </w:p>
        </w:tc>
        <w:tc>
          <w:tcPr>
            <w:tcW w:w="635" w:type="dxa"/>
          </w:tcPr>
          <w:p w:rsidR="001D71AD" w:rsidRPr="00AE3D84" w:rsidRDefault="001D71AD" w:rsidP="00DF6B08">
            <w:pPr>
              <w:jc w:val="both"/>
              <w:rPr>
                <w:sz w:val="16"/>
                <w:szCs w:val="16"/>
                <w:lang w:val="fr-CA"/>
              </w:rPr>
            </w:pPr>
            <w:r w:rsidRPr="00AE3D84">
              <w:rPr>
                <w:sz w:val="16"/>
                <w:szCs w:val="16"/>
                <w:lang w:val="fr-CA"/>
              </w:rPr>
              <w:t>0</w:t>
            </w:r>
          </w:p>
        </w:tc>
        <w:tc>
          <w:tcPr>
            <w:tcW w:w="715" w:type="dxa"/>
          </w:tcPr>
          <w:p w:rsidR="001D71AD" w:rsidRPr="00AE3D84" w:rsidRDefault="001D71AD" w:rsidP="009B124A">
            <w:pPr>
              <w:jc w:val="both"/>
              <w:rPr>
                <w:sz w:val="16"/>
                <w:szCs w:val="16"/>
                <w:lang w:val="fr-CA"/>
              </w:rPr>
            </w:pPr>
            <w:r w:rsidRPr="00AE3D84">
              <w:rPr>
                <w:sz w:val="16"/>
                <w:szCs w:val="16"/>
                <w:lang w:val="fr-CA"/>
              </w:rPr>
              <w:t>Moyen</w:t>
            </w:r>
            <w:r>
              <w:rPr>
                <w:sz w:val="16"/>
                <w:szCs w:val="16"/>
                <w:lang w:val="fr-CA"/>
              </w:rPr>
              <w:t>s</w:t>
            </w:r>
          </w:p>
        </w:tc>
        <w:tc>
          <w:tcPr>
            <w:tcW w:w="551" w:type="dxa"/>
          </w:tcPr>
          <w:p w:rsidR="001D71AD" w:rsidRPr="00AE3D84" w:rsidRDefault="001D71AD" w:rsidP="00DF6B08">
            <w:pPr>
              <w:jc w:val="both"/>
              <w:rPr>
                <w:sz w:val="16"/>
                <w:szCs w:val="16"/>
                <w:lang w:val="fr-CA"/>
              </w:rPr>
            </w:pPr>
            <w:r w:rsidRPr="00AE3D84">
              <w:rPr>
                <w:sz w:val="16"/>
                <w:szCs w:val="16"/>
                <w:lang w:val="fr-CA"/>
              </w:rPr>
              <w:t>6</w:t>
            </w:r>
          </w:p>
        </w:tc>
        <w:tc>
          <w:tcPr>
            <w:tcW w:w="709" w:type="dxa"/>
          </w:tcPr>
          <w:p w:rsidR="001D71AD" w:rsidRPr="00AE3D84" w:rsidRDefault="001D71AD" w:rsidP="009B124A">
            <w:pPr>
              <w:jc w:val="both"/>
              <w:rPr>
                <w:sz w:val="16"/>
                <w:szCs w:val="16"/>
                <w:lang w:val="fr-CA"/>
              </w:rPr>
            </w:pPr>
            <w:r w:rsidRPr="00AE3D84">
              <w:rPr>
                <w:sz w:val="16"/>
                <w:szCs w:val="16"/>
                <w:lang w:val="fr-CA"/>
              </w:rPr>
              <w:t>Moyen</w:t>
            </w:r>
            <w:r>
              <w:rPr>
                <w:sz w:val="16"/>
                <w:szCs w:val="16"/>
                <w:lang w:val="fr-CA"/>
              </w:rPr>
              <w:t>s</w:t>
            </w:r>
          </w:p>
        </w:tc>
        <w:tc>
          <w:tcPr>
            <w:tcW w:w="556" w:type="dxa"/>
          </w:tcPr>
          <w:p w:rsidR="001D71AD" w:rsidRPr="00AE3D84" w:rsidRDefault="001D71AD" w:rsidP="00DF6B08">
            <w:pPr>
              <w:jc w:val="both"/>
              <w:rPr>
                <w:sz w:val="16"/>
                <w:szCs w:val="16"/>
                <w:lang w:val="fr-CA"/>
              </w:rPr>
            </w:pPr>
            <w:r w:rsidRPr="00AE3D84">
              <w:rPr>
                <w:sz w:val="16"/>
                <w:szCs w:val="16"/>
                <w:lang w:val="fr-CA"/>
              </w:rPr>
              <w:t>6</w:t>
            </w:r>
          </w:p>
        </w:tc>
        <w:tc>
          <w:tcPr>
            <w:tcW w:w="704" w:type="dxa"/>
          </w:tcPr>
          <w:p w:rsidR="001D71AD" w:rsidRPr="00AE3D84" w:rsidRDefault="001D71AD" w:rsidP="00F21AA2">
            <w:pPr>
              <w:jc w:val="both"/>
              <w:rPr>
                <w:sz w:val="16"/>
                <w:szCs w:val="16"/>
                <w:lang w:val="fr-CA"/>
              </w:rPr>
            </w:pPr>
            <w:r w:rsidRPr="00AE3D84">
              <w:rPr>
                <w:sz w:val="16"/>
                <w:szCs w:val="16"/>
                <w:lang w:val="fr-CA"/>
              </w:rPr>
              <w:t>Moyen</w:t>
            </w:r>
            <w:r>
              <w:rPr>
                <w:sz w:val="16"/>
                <w:szCs w:val="16"/>
                <w:lang w:val="fr-CA"/>
              </w:rPr>
              <w:t>s</w:t>
            </w:r>
          </w:p>
        </w:tc>
        <w:tc>
          <w:tcPr>
            <w:tcW w:w="562" w:type="dxa"/>
          </w:tcPr>
          <w:p w:rsidR="001D71AD" w:rsidRPr="00AE3D84" w:rsidRDefault="001D71AD" w:rsidP="00DF6B08">
            <w:pPr>
              <w:jc w:val="both"/>
              <w:rPr>
                <w:sz w:val="16"/>
                <w:szCs w:val="16"/>
                <w:lang w:val="fr-CA"/>
              </w:rPr>
            </w:pPr>
            <w:r w:rsidRPr="00AE3D84">
              <w:rPr>
                <w:sz w:val="16"/>
                <w:szCs w:val="16"/>
                <w:lang w:val="fr-CA"/>
              </w:rPr>
              <w:t>6</w:t>
            </w:r>
          </w:p>
        </w:tc>
        <w:tc>
          <w:tcPr>
            <w:tcW w:w="698" w:type="dxa"/>
          </w:tcPr>
          <w:p w:rsidR="001D71AD" w:rsidRPr="00AE3D84" w:rsidRDefault="001D71AD" w:rsidP="00F21AA2">
            <w:pPr>
              <w:jc w:val="both"/>
              <w:rPr>
                <w:sz w:val="16"/>
                <w:szCs w:val="16"/>
                <w:lang w:val="fr-CA"/>
              </w:rPr>
            </w:pPr>
            <w:r w:rsidRPr="00AE3D84">
              <w:rPr>
                <w:sz w:val="16"/>
                <w:szCs w:val="16"/>
                <w:lang w:val="fr-CA"/>
              </w:rPr>
              <w:t>Très grand</w:t>
            </w:r>
            <w:r>
              <w:rPr>
                <w:sz w:val="16"/>
                <w:szCs w:val="16"/>
                <w:lang w:val="fr-CA"/>
              </w:rPr>
              <w:t>s</w:t>
            </w:r>
          </w:p>
        </w:tc>
        <w:tc>
          <w:tcPr>
            <w:tcW w:w="567" w:type="dxa"/>
          </w:tcPr>
          <w:p w:rsidR="001D71AD" w:rsidRPr="00AE3D84" w:rsidRDefault="001D71AD" w:rsidP="00DF6B08">
            <w:pPr>
              <w:jc w:val="both"/>
              <w:rPr>
                <w:sz w:val="16"/>
                <w:szCs w:val="16"/>
                <w:lang w:val="fr-CA"/>
              </w:rPr>
            </w:pPr>
            <w:r w:rsidRPr="00AE3D84">
              <w:rPr>
                <w:sz w:val="16"/>
                <w:szCs w:val="16"/>
                <w:lang w:val="fr-CA"/>
              </w:rPr>
              <w:t>5</w:t>
            </w:r>
          </w:p>
        </w:tc>
        <w:tc>
          <w:tcPr>
            <w:tcW w:w="693" w:type="dxa"/>
          </w:tcPr>
          <w:p w:rsidR="001D71AD" w:rsidRPr="00AE3D84" w:rsidRDefault="001D71AD" w:rsidP="009B124A">
            <w:pPr>
              <w:jc w:val="both"/>
              <w:rPr>
                <w:sz w:val="16"/>
                <w:szCs w:val="16"/>
                <w:lang w:val="fr-CA"/>
              </w:rPr>
            </w:pPr>
            <w:r w:rsidRPr="00AE3D84">
              <w:rPr>
                <w:sz w:val="16"/>
                <w:szCs w:val="16"/>
                <w:lang w:val="fr-CA"/>
              </w:rPr>
              <w:t>Moyen</w:t>
            </w:r>
            <w:r>
              <w:rPr>
                <w:sz w:val="16"/>
                <w:szCs w:val="16"/>
                <w:lang w:val="fr-CA"/>
              </w:rPr>
              <w:t>s</w:t>
            </w:r>
          </w:p>
        </w:tc>
        <w:tc>
          <w:tcPr>
            <w:tcW w:w="573" w:type="dxa"/>
          </w:tcPr>
          <w:p w:rsidR="001D71AD" w:rsidRPr="00AE3D84" w:rsidRDefault="001D71AD" w:rsidP="00DF6B08">
            <w:pPr>
              <w:jc w:val="both"/>
              <w:rPr>
                <w:sz w:val="16"/>
                <w:szCs w:val="16"/>
                <w:lang w:val="fr-CA"/>
              </w:rPr>
            </w:pPr>
            <w:r w:rsidRPr="00AE3D84">
              <w:rPr>
                <w:sz w:val="16"/>
                <w:szCs w:val="16"/>
                <w:lang w:val="fr-CA"/>
              </w:rPr>
              <w:t>5</w:t>
            </w:r>
          </w:p>
        </w:tc>
        <w:tc>
          <w:tcPr>
            <w:tcW w:w="705" w:type="dxa"/>
          </w:tcPr>
          <w:p w:rsidR="001D71AD" w:rsidRPr="00AE3D84" w:rsidRDefault="001D71AD" w:rsidP="00DF6B08">
            <w:pPr>
              <w:jc w:val="both"/>
              <w:rPr>
                <w:sz w:val="16"/>
                <w:szCs w:val="16"/>
                <w:lang w:val="fr-CA"/>
              </w:rPr>
            </w:pPr>
            <w:r w:rsidRPr="00AE3D84">
              <w:rPr>
                <w:sz w:val="16"/>
                <w:szCs w:val="16"/>
                <w:lang w:val="fr-CA"/>
              </w:rPr>
              <w:t>28</w:t>
            </w:r>
          </w:p>
        </w:tc>
      </w:tr>
      <w:tr w:rsidR="001D71AD" w:rsidRPr="00AE3D84" w:rsidTr="001C47D6">
        <w:tc>
          <w:tcPr>
            <w:tcW w:w="1008" w:type="dxa"/>
          </w:tcPr>
          <w:p w:rsidR="001D71AD" w:rsidRPr="00AE3D84" w:rsidRDefault="001D71AD" w:rsidP="009B124A">
            <w:pPr>
              <w:jc w:val="both"/>
              <w:rPr>
                <w:sz w:val="16"/>
                <w:szCs w:val="16"/>
                <w:lang w:val="fr-CA"/>
              </w:rPr>
            </w:pPr>
            <w:r w:rsidRPr="00AE3D84">
              <w:rPr>
                <w:sz w:val="16"/>
                <w:szCs w:val="16"/>
                <w:lang w:val="fr-CA"/>
              </w:rPr>
              <w:t>Tchad</w:t>
            </w:r>
          </w:p>
        </w:tc>
        <w:tc>
          <w:tcPr>
            <w:tcW w:w="900" w:type="dxa"/>
          </w:tcPr>
          <w:p w:rsidR="001D71AD" w:rsidRPr="00AE3D84" w:rsidRDefault="001D71AD" w:rsidP="009B124A">
            <w:pPr>
              <w:jc w:val="both"/>
              <w:rPr>
                <w:sz w:val="16"/>
                <w:szCs w:val="16"/>
                <w:lang w:val="fr-CA"/>
              </w:rPr>
            </w:pPr>
            <w:r w:rsidRPr="00AE3D84">
              <w:rPr>
                <w:sz w:val="16"/>
                <w:szCs w:val="16"/>
                <w:lang w:val="fr-CA"/>
              </w:rPr>
              <w:t>Très grand</w:t>
            </w:r>
            <w:r>
              <w:rPr>
                <w:sz w:val="16"/>
                <w:szCs w:val="16"/>
                <w:lang w:val="fr-CA"/>
              </w:rPr>
              <w:t>s</w:t>
            </w:r>
          </w:p>
        </w:tc>
        <w:tc>
          <w:tcPr>
            <w:tcW w:w="635" w:type="dxa"/>
          </w:tcPr>
          <w:p w:rsidR="001D71AD" w:rsidRPr="00AE3D84" w:rsidRDefault="001D71AD" w:rsidP="00DF6B08">
            <w:pPr>
              <w:jc w:val="both"/>
              <w:rPr>
                <w:sz w:val="16"/>
                <w:szCs w:val="16"/>
                <w:lang w:val="fr-CA"/>
              </w:rPr>
            </w:pPr>
            <w:r w:rsidRPr="00AE3D84">
              <w:rPr>
                <w:sz w:val="16"/>
                <w:szCs w:val="16"/>
                <w:lang w:val="fr-CA"/>
              </w:rPr>
              <w:t>20</w:t>
            </w:r>
          </w:p>
        </w:tc>
        <w:tc>
          <w:tcPr>
            <w:tcW w:w="715" w:type="dxa"/>
          </w:tcPr>
          <w:p w:rsidR="001D71AD" w:rsidRPr="00AE3D84" w:rsidRDefault="001D71AD" w:rsidP="00F21AA2">
            <w:pPr>
              <w:jc w:val="both"/>
              <w:rPr>
                <w:sz w:val="16"/>
                <w:szCs w:val="16"/>
                <w:lang w:val="fr-CA"/>
              </w:rPr>
            </w:pPr>
            <w:r w:rsidRPr="00AE3D84">
              <w:rPr>
                <w:sz w:val="16"/>
                <w:szCs w:val="16"/>
                <w:lang w:val="fr-CA"/>
              </w:rPr>
              <w:t xml:space="preserve">Très </w:t>
            </w:r>
            <w:r>
              <w:rPr>
                <w:sz w:val="16"/>
                <w:szCs w:val="16"/>
                <w:lang w:val="fr-CA"/>
              </w:rPr>
              <w:t>grands</w:t>
            </w:r>
          </w:p>
        </w:tc>
        <w:tc>
          <w:tcPr>
            <w:tcW w:w="551" w:type="dxa"/>
          </w:tcPr>
          <w:p w:rsidR="001D71AD" w:rsidRPr="00AE3D84" w:rsidRDefault="001D71AD" w:rsidP="00DF6B08">
            <w:pPr>
              <w:jc w:val="both"/>
              <w:rPr>
                <w:sz w:val="16"/>
                <w:szCs w:val="16"/>
                <w:lang w:val="fr-CA"/>
              </w:rPr>
            </w:pPr>
            <w:r w:rsidRPr="00AE3D84">
              <w:rPr>
                <w:sz w:val="16"/>
                <w:szCs w:val="16"/>
                <w:lang w:val="fr-CA"/>
              </w:rPr>
              <w:t>20</w:t>
            </w:r>
          </w:p>
        </w:tc>
        <w:tc>
          <w:tcPr>
            <w:tcW w:w="709" w:type="dxa"/>
          </w:tcPr>
          <w:p w:rsidR="001D71AD" w:rsidRPr="00AE3D84" w:rsidRDefault="001D71AD" w:rsidP="00F21AA2">
            <w:pPr>
              <w:jc w:val="both"/>
              <w:rPr>
                <w:sz w:val="16"/>
                <w:szCs w:val="16"/>
                <w:lang w:val="fr-CA"/>
              </w:rPr>
            </w:pPr>
            <w:r w:rsidRPr="00AE3D84">
              <w:rPr>
                <w:sz w:val="16"/>
                <w:szCs w:val="16"/>
                <w:lang w:val="fr-CA"/>
              </w:rPr>
              <w:t xml:space="preserve">Très </w:t>
            </w:r>
            <w:r>
              <w:rPr>
                <w:sz w:val="16"/>
                <w:szCs w:val="16"/>
                <w:lang w:val="fr-CA"/>
              </w:rPr>
              <w:t>grands</w:t>
            </w:r>
          </w:p>
        </w:tc>
        <w:tc>
          <w:tcPr>
            <w:tcW w:w="556" w:type="dxa"/>
          </w:tcPr>
          <w:p w:rsidR="001D71AD" w:rsidRPr="00AE3D84" w:rsidRDefault="001D71AD" w:rsidP="00DF6B08">
            <w:pPr>
              <w:jc w:val="both"/>
              <w:rPr>
                <w:sz w:val="16"/>
                <w:szCs w:val="16"/>
                <w:lang w:val="fr-CA"/>
              </w:rPr>
            </w:pPr>
            <w:r w:rsidRPr="00AE3D84">
              <w:rPr>
                <w:sz w:val="16"/>
                <w:szCs w:val="16"/>
                <w:lang w:val="fr-CA"/>
              </w:rPr>
              <w:t>20</w:t>
            </w:r>
          </w:p>
        </w:tc>
        <w:tc>
          <w:tcPr>
            <w:tcW w:w="704" w:type="dxa"/>
          </w:tcPr>
          <w:p w:rsidR="001D71AD" w:rsidRPr="00AE3D84" w:rsidRDefault="001D71AD" w:rsidP="00F21AA2">
            <w:pPr>
              <w:jc w:val="both"/>
              <w:rPr>
                <w:sz w:val="16"/>
                <w:szCs w:val="16"/>
                <w:lang w:val="fr-CA"/>
              </w:rPr>
            </w:pPr>
            <w:r w:rsidRPr="00AE3D84">
              <w:rPr>
                <w:sz w:val="16"/>
                <w:szCs w:val="16"/>
                <w:lang w:val="fr-CA"/>
              </w:rPr>
              <w:t>Très grand</w:t>
            </w:r>
            <w:r>
              <w:rPr>
                <w:sz w:val="16"/>
                <w:szCs w:val="16"/>
                <w:lang w:val="fr-CA"/>
              </w:rPr>
              <w:t>s</w:t>
            </w:r>
          </w:p>
        </w:tc>
        <w:tc>
          <w:tcPr>
            <w:tcW w:w="562" w:type="dxa"/>
          </w:tcPr>
          <w:p w:rsidR="001D71AD" w:rsidRPr="00AE3D84" w:rsidRDefault="001D71AD" w:rsidP="00DF6B08">
            <w:pPr>
              <w:jc w:val="both"/>
              <w:rPr>
                <w:sz w:val="16"/>
                <w:szCs w:val="16"/>
                <w:lang w:val="fr-CA"/>
              </w:rPr>
            </w:pPr>
            <w:r w:rsidRPr="00AE3D84">
              <w:rPr>
                <w:sz w:val="16"/>
                <w:szCs w:val="16"/>
                <w:lang w:val="fr-CA"/>
              </w:rPr>
              <w:t>20</w:t>
            </w:r>
          </w:p>
        </w:tc>
        <w:tc>
          <w:tcPr>
            <w:tcW w:w="698" w:type="dxa"/>
          </w:tcPr>
          <w:p w:rsidR="001D71AD" w:rsidRPr="00AE3D84" w:rsidRDefault="001D71AD" w:rsidP="00F21AA2">
            <w:pPr>
              <w:jc w:val="both"/>
              <w:rPr>
                <w:sz w:val="16"/>
                <w:szCs w:val="16"/>
                <w:lang w:val="fr-CA"/>
              </w:rPr>
            </w:pPr>
            <w:r w:rsidRPr="00AE3D84">
              <w:rPr>
                <w:sz w:val="16"/>
                <w:szCs w:val="16"/>
                <w:lang w:val="fr-CA"/>
              </w:rPr>
              <w:t>Grand</w:t>
            </w:r>
            <w:r>
              <w:rPr>
                <w:sz w:val="16"/>
                <w:szCs w:val="16"/>
                <w:lang w:val="fr-CA"/>
              </w:rPr>
              <w:t>s</w:t>
            </w:r>
          </w:p>
        </w:tc>
        <w:tc>
          <w:tcPr>
            <w:tcW w:w="567" w:type="dxa"/>
          </w:tcPr>
          <w:p w:rsidR="001D71AD" w:rsidRPr="00AE3D84" w:rsidRDefault="001D71AD" w:rsidP="00DF6B08">
            <w:pPr>
              <w:jc w:val="both"/>
              <w:rPr>
                <w:sz w:val="16"/>
                <w:szCs w:val="16"/>
                <w:lang w:val="fr-CA"/>
              </w:rPr>
            </w:pPr>
            <w:r w:rsidRPr="00AE3D84">
              <w:rPr>
                <w:sz w:val="16"/>
                <w:szCs w:val="16"/>
                <w:lang w:val="fr-CA"/>
              </w:rPr>
              <w:t>3</w:t>
            </w:r>
          </w:p>
        </w:tc>
        <w:tc>
          <w:tcPr>
            <w:tcW w:w="693" w:type="dxa"/>
          </w:tcPr>
          <w:p w:rsidR="001D71AD" w:rsidRPr="00AE3D84" w:rsidRDefault="001D71AD" w:rsidP="009B124A">
            <w:pPr>
              <w:jc w:val="both"/>
              <w:rPr>
                <w:sz w:val="16"/>
                <w:szCs w:val="16"/>
                <w:lang w:val="fr-CA"/>
              </w:rPr>
            </w:pPr>
            <w:r w:rsidRPr="00AE3D84">
              <w:rPr>
                <w:sz w:val="16"/>
                <w:szCs w:val="16"/>
                <w:lang w:val="fr-CA"/>
              </w:rPr>
              <w:t>Grand</w:t>
            </w:r>
            <w:r>
              <w:rPr>
                <w:sz w:val="16"/>
                <w:szCs w:val="16"/>
                <w:lang w:val="fr-CA"/>
              </w:rPr>
              <w:t>s</w:t>
            </w:r>
          </w:p>
        </w:tc>
        <w:tc>
          <w:tcPr>
            <w:tcW w:w="573" w:type="dxa"/>
          </w:tcPr>
          <w:p w:rsidR="001D71AD" w:rsidRPr="00AE3D84" w:rsidRDefault="001D71AD" w:rsidP="00DF6B08">
            <w:pPr>
              <w:jc w:val="both"/>
              <w:rPr>
                <w:sz w:val="16"/>
                <w:szCs w:val="16"/>
                <w:lang w:val="fr-CA"/>
              </w:rPr>
            </w:pPr>
            <w:r w:rsidRPr="00AE3D84">
              <w:rPr>
                <w:sz w:val="16"/>
                <w:szCs w:val="16"/>
                <w:lang w:val="fr-CA"/>
              </w:rPr>
              <w:t>9</w:t>
            </w:r>
          </w:p>
        </w:tc>
        <w:tc>
          <w:tcPr>
            <w:tcW w:w="705" w:type="dxa"/>
          </w:tcPr>
          <w:p w:rsidR="001D71AD" w:rsidRPr="00AE3D84" w:rsidRDefault="001D71AD" w:rsidP="00DF6B08">
            <w:pPr>
              <w:jc w:val="both"/>
              <w:rPr>
                <w:sz w:val="16"/>
                <w:szCs w:val="16"/>
                <w:lang w:val="fr-CA"/>
              </w:rPr>
            </w:pPr>
            <w:r w:rsidRPr="00AE3D84">
              <w:rPr>
                <w:sz w:val="16"/>
                <w:szCs w:val="16"/>
                <w:lang w:val="fr-CA"/>
              </w:rPr>
              <w:t>92</w:t>
            </w:r>
          </w:p>
        </w:tc>
      </w:tr>
      <w:tr w:rsidR="001D71AD" w:rsidRPr="00AE3D84" w:rsidTr="001C47D6">
        <w:tc>
          <w:tcPr>
            <w:tcW w:w="1008" w:type="dxa"/>
          </w:tcPr>
          <w:p w:rsidR="001D71AD" w:rsidRPr="00AE3D84" w:rsidRDefault="001D71AD" w:rsidP="009B124A">
            <w:pPr>
              <w:jc w:val="both"/>
              <w:rPr>
                <w:sz w:val="16"/>
                <w:szCs w:val="16"/>
                <w:lang w:val="fr-CA"/>
              </w:rPr>
            </w:pPr>
            <w:r w:rsidRPr="00AE3D84">
              <w:rPr>
                <w:sz w:val="16"/>
                <w:szCs w:val="16"/>
                <w:lang w:val="fr-CA"/>
              </w:rPr>
              <w:t>Yémen</w:t>
            </w:r>
          </w:p>
        </w:tc>
        <w:tc>
          <w:tcPr>
            <w:tcW w:w="900" w:type="dxa"/>
          </w:tcPr>
          <w:p w:rsidR="001D71AD" w:rsidRPr="00AE3D84" w:rsidRDefault="001D71AD" w:rsidP="009B124A">
            <w:pPr>
              <w:jc w:val="both"/>
              <w:rPr>
                <w:sz w:val="16"/>
                <w:szCs w:val="16"/>
                <w:lang w:val="fr-CA"/>
              </w:rPr>
            </w:pPr>
            <w:r w:rsidRPr="00AE3D84">
              <w:rPr>
                <w:sz w:val="16"/>
                <w:szCs w:val="16"/>
                <w:lang w:val="fr-CA"/>
              </w:rPr>
              <w:t>Grand</w:t>
            </w:r>
            <w:r>
              <w:rPr>
                <w:sz w:val="16"/>
                <w:szCs w:val="16"/>
                <w:lang w:val="fr-CA"/>
              </w:rPr>
              <w:t>es</w:t>
            </w:r>
          </w:p>
        </w:tc>
        <w:tc>
          <w:tcPr>
            <w:tcW w:w="635" w:type="dxa"/>
          </w:tcPr>
          <w:p w:rsidR="001D71AD" w:rsidRPr="00AE3D84" w:rsidRDefault="001D71AD" w:rsidP="00DF6B08">
            <w:pPr>
              <w:jc w:val="both"/>
              <w:rPr>
                <w:sz w:val="16"/>
                <w:szCs w:val="16"/>
                <w:lang w:val="fr-CA"/>
              </w:rPr>
            </w:pPr>
            <w:r w:rsidRPr="00AE3D84">
              <w:rPr>
                <w:sz w:val="16"/>
                <w:szCs w:val="16"/>
                <w:lang w:val="fr-CA"/>
              </w:rPr>
              <w:t>12</w:t>
            </w:r>
          </w:p>
        </w:tc>
        <w:tc>
          <w:tcPr>
            <w:tcW w:w="715" w:type="dxa"/>
          </w:tcPr>
          <w:p w:rsidR="001D71AD" w:rsidRPr="00AE3D84" w:rsidRDefault="001D71AD" w:rsidP="009B124A">
            <w:pPr>
              <w:jc w:val="both"/>
              <w:rPr>
                <w:sz w:val="16"/>
                <w:szCs w:val="16"/>
                <w:lang w:val="fr-CA"/>
              </w:rPr>
            </w:pPr>
            <w:r w:rsidRPr="00AE3D84">
              <w:rPr>
                <w:sz w:val="16"/>
                <w:szCs w:val="16"/>
                <w:lang w:val="fr-CA"/>
              </w:rPr>
              <w:t>Moyen</w:t>
            </w:r>
            <w:r>
              <w:rPr>
                <w:sz w:val="16"/>
                <w:szCs w:val="16"/>
                <w:lang w:val="fr-CA"/>
              </w:rPr>
              <w:lastRenderedPageBreak/>
              <w:t>s</w:t>
            </w:r>
          </w:p>
        </w:tc>
        <w:tc>
          <w:tcPr>
            <w:tcW w:w="551" w:type="dxa"/>
          </w:tcPr>
          <w:p w:rsidR="001D71AD" w:rsidRPr="00AE3D84" w:rsidRDefault="001D71AD" w:rsidP="00DF6B08">
            <w:pPr>
              <w:jc w:val="both"/>
              <w:rPr>
                <w:sz w:val="16"/>
                <w:szCs w:val="16"/>
                <w:lang w:val="fr-CA"/>
              </w:rPr>
            </w:pPr>
            <w:r w:rsidRPr="00AE3D84">
              <w:rPr>
                <w:sz w:val="16"/>
                <w:szCs w:val="16"/>
                <w:lang w:val="fr-CA"/>
              </w:rPr>
              <w:lastRenderedPageBreak/>
              <w:t>6</w:t>
            </w:r>
          </w:p>
        </w:tc>
        <w:tc>
          <w:tcPr>
            <w:tcW w:w="709" w:type="dxa"/>
          </w:tcPr>
          <w:p w:rsidR="001D71AD" w:rsidRPr="00AE3D84" w:rsidRDefault="001D71AD" w:rsidP="00F21AA2">
            <w:pPr>
              <w:jc w:val="both"/>
              <w:rPr>
                <w:sz w:val="16"/>
                <w:szCs w:val="16"/>
                <w:lang w:val="fr-CA"/>
              </w:rPr>
            </w:pPr>
            <w:r>
              <w:rPr>
                <w:sz w:val="16"/>
                <w:szCs w:val="16"/>
                <w:lang w:val="fr-CA"/>
              </w:rPr>
              <w:t>Grands</w:t>
            </w:r>
          </w:p>
        </w:tc>
        <w:tc>
          <w:tcPr>
            <w:tcW w:w="556" w:type="dxa"/>
          </w:tcPr>
          <w:p w:rsidR="001D71AD" w:rsidRPr="00AE3D84" w:rsidRDefault="001D71AD" w:rsidP="00DF6B08">
            <w:pPr>
              <w:jc w:val="both"/>
              <w:rPr>
                <w:sz w:val="16"/>
                <w:szCs w:val="16"/>
                <w:lang w:val="fr-CA"/>
              </w:rPr>
            </w:pPr>
            <w:r w:rsidRPr="00AE3D84">
              <w:rPr>
                <w:sz w:val="16"/>
                <w:szCs w:val="16"/>
                <w:lang w:val="fr-CA"/>
              </w:rPr>
              <w:t>12</w:t>
            </w:r>
          </w:p>
        </w:tc>
        <w:tc>
          <w:tcPr>
            <w:tcW w:w="704" w:type="dxa"/>
          </w:tcPr>
          <w:p w:rsidR="001D71AD" w:rsidRPr="00AE3D84" w:rsidRDefault="001D71AD" w:rsidP="009B124A">
            <w:pPr>
              <w:jc w:val="both"/>
              <w:rPr>
                <w:sz w:val="16"/>
                <w:szCs w:val="16"/>
                <w:lang w:val="fr-CA"/>
              </w:rPr>
            </w:pPr>
            <w:r w:rsidRPr="00AE3D84">
              <w:rPr>
                <w:sz w:val="16"/>
                <w:szCs w:val="16"/>
                <w:lang w:val="fr-CA"/>
              </w:rPr>
              <w:t>Grand</w:t>
            </w:r>
            <w:r>
              <w:rPr>
                <w:sz w:val="16"/>
                <w:szCs w:val="16"/>
                <w:lang w:val="fr-CA"/>
              </w:rPr>
              <w:t>s</w:t>
            </w:r>
          </w:p>
        </w:tc>
        <w:tc>
          <w:tcPr>
            <w:tcW w:w="562" w:type="dxa"/>
          </w:tcPr>
          <w:p w:rsidR="001D71AD" w:rsidRPr="00AE3D84" w:rsidRDefault="001D71AD" w:rsidP="00DF6B08">
            <w:pPr>
              <w:jc w:val="both"/>
              <w:rPr>
                <w:sz w:val="16"/>
                <w:szCs w:val="16"/>
                <w:lang w:val="fr-CA"/>
              </w:rPr>
            </w:pPr>
            <w:r w:rsidRPr="00AE3D84">
              <w:rPr>
                <w:sz w:val="16"/>
                <w:szCs w:val="16"/>
                <w:lang w:val="fr-CA"/>
              </w:rPr>
              <w:t>12</w:t>
            </w:r>
          </w:p>
        </w:tc>
        <w:tc>
          <w:tcPr>
            <w:tcW w:w="698" w:type="dxa"/>
          </w:tcPr>
          <w:p w:rsidR="001D71AD" w:rsidRPr="00AE3D84" w:rsidRDefault="001D71AD" w:rsidP="009B124A">
            <w:pPr>
              <w:jc w:val="both"/>
              <w:rPr>
                <w:sz w:val="16"/>
                <w:szCs w:val="16"/>
                <w:lang w:val="fr-CA"/>
              </w:rPr>
            </w:pPr>
            <w:r w:rsidRPr="00AE3D84">
              <w:rPr>
                <w:sz w:val="16"/>
                <w:szCs w:val="16"/>
                <w:lang w:val="fr-CA"/>
              </w:rPr>
              <w:t>Faible</w:t>
            </w:r>
            <w:r>
              <w:rPr>
                <w:sz w:val="16"/>
                <w:szCs w:val="16"/>
                <w:lang w:val="fr-CA"/>
              </w:rPr>
              <w:t>s</w:t>
            </w:r>
          </w:p>
        </w:tc>
        <w:tc>
          <w:tcPr>
            <w:tcW w:w="567" w:type="dxa"/>
          </w:tcPr>
          <w:p w:rsidR="001D71AD" w:rsidRPr="00AE3D84" w:rsidRDefault="001D71AD" w:rsidP="00DF6B08">
            <w:pPr>
              <w:jc w:val="both"/>
              <w:rPr>
                <w:sz w:val="16"/>
                <w:szCs w:val="16"/>
                <w:lang w:val="fr-CA"/>
              </w:rPr>
            </w:pPr>
            <w:r w:rsidRPr="00AE3D84">
              <w:rPr>
                <w:sz w:val="16"/>
                <w:szCs w:val="16"/>
                <w:lang w:val="fr-CA"/>
              </w:rPr>
              <w:t>0</w:t>
            </w:r>
          </w:p>
        </w:tc>
        <w:tc>
          <w:tcPr>
            <w:tcW w:w="693" w:type="dxa"/>
          </w:tcPr>
          <w:p w:rsidR="001D71AD" w:rsidRPr="00AE3D84" w:rsidRDefault="001D71AD" w:rsidP="00015F74">
            <w:pPr>
              <w:jc w:val="both"/>
              <w:rPr>
                <w:sz w:val="16"/>
                <w:szCs w:val="16"/>
                <w:lang w:val="fr-CA"/>
              </w:rPr>
            </w:pPr>
            <w:r w:rsidRPr="00AE3D84">
              <w:rPr>
                <w:sz w:val="16"/>
                <w:szCs w:val="16"/>
                <w:lang w:val="fr-CA"/>
              </w:rPr>
              <w:t xml:space="preserve">Très </w:t>
            </w:r>
            <w:r w:rsidRPr="00AE3D84">
              <w:rPr>
                <w:sz w:val="16"/>
                <w:szCs w:val="16"/>
                <w:lang w:val="fr-CA"/>
              </w:rPr>
              <w:lastRenderedPageBreak/>
              <w:t>grand</w:t>
            </w:r>
            <w:r>
              <w:rPr>
                <w:sz w:val="16"/>
                <w:szCs w:val="16"/>
                <w:lang w:val="fr-CA"/>
              </w:rPr>
              <w:t>s</w:t>
            </w:r>
          </w:p>
        </w:tc>
        <w:tc>
          <w:tcPr>
            <w:tcW w:w="573" w:type="dxa"/>
          </w:tcPr>
          <w:p w:rsidR="001D71AD" w:rsidRPr="00AE3D84" w:rsidRDefault="001D71AD" w:rsidP="00DF6B08">
            <w:pPr>
              <w:jc w:val="both"/>
              <w:rPr>
                <w:sz w:val="16"/>
                <w:szCs w:val="16"/>
                <w:lang w:val="fr-CA"/>
              </w:rPr>
            </w:pPr>
            <w:r w:rsidRPr="00AE3D84">
              <w:rPr>
                <w:sz w:val="16"/>
                <w:szCs w:val="16"/>
                <w:lang w:val="fr-CA"/>
              </w:rPr>
              <w:lastRenderedPageBreak/>
              <w:t>15</w:t>
            </w:r>
          </w:p>
        </w:tc>
        <w:tc>
          <w:tcPr>
            <w:tcW w:w="705" w:type="dxa"/>
          </w:tcPr>
          <w:p w:rsidR="001D71AD" w:rsidRPr="00AE3D84" w:rsidRDefault="001D71AD" w:rsidP="00DF6B08">
            <w:pPr>
              <w:jc w:val="both"/>
              <w:rPr>
                <w:sz w:val="16"/>
                <w:szCs w:val="16"/>
                <w:lang w:val="fr-CA"/>
              </w:rPr>
            </w:pPr>
            <w:r w:rsidRPr="00AE3D84">
              <w:rPr>
                <w:sz w:val="16"/>
                <w:szCs w:val="16"/>
                <w:lang w:val="fr-CA"/>
              </w:rPr>
              <w:t>57</w:t>
            </w:r>
          </w:p>
        </w:tc>
      </w:tr>
    </w:tbl>
    <w:p w:rsidR="001D71AD" w:rsidRPr="00AE3D84" w:rsidRDefault="001D71AD" w:rsidP="00DB4B8A">
      <w:pPr>
        <w:ind w:left="1080" w:right="720"/>
        <w:jc w:val="both"/>
        <w:rPr>
          <w:sz w:val="16"/>
          <w:szCs w:val="16"/>
          <w:lang w:val="fr-CA"/>
        </w:rPr>
      </w:pPr>
    </w:p>
    <w:p w:rsidR="001D71AD" w:rsidRPr="00957D2E" w:rsidRDefault="001D71AD" w:rsidP="00BB13A1">
      <w:pPr>
        <w:numPr>
          <w:ilvl w:val="0"/>
          <w:numId w:val="4"/>
        </w:numPr>
        <w:ind w:left="1080" w:right="720" w:firstLine="0"/>
        <w:jc w:val="both"/>
        <w:rPr>
          <w:lang w:val="fr-FR"/>
        </w:rPr>
      </w:pPr>
      <w:r w:rsidRPr="00720911">
        <w:rPr>
          <w:lang w:val="fr-FR"/>
        </w:rPr>
        <w:t>Enfin, les deux facteurs supplémentaires mentionnés ci-dessus, fragilité et risque de crises humanitaires et inégalité des revenus, sont inclus en donnant des points suppl</w:t>
      </w:r>
      <w:r>
        <w:rPr>
          <w:lang w:val="fr-FR"/>
        </w:rPr>
        <w:t>émentaires.</w:t>
      </w:r>
      <w:r w:rsidRPr="00720911">
        <w:rPr>
          <w:lang w:val="fr-FR"/>
        </w:rPr>
        <w:t xml:space="preserve">Ainsi, les pays qui sont considérés confrontés à de </w:t>
      </w:r>
      <w:r>
        <w:rPr>
          <w:lang w:val="fr-FR"/>
        </w:rPr>
        <w:t>très</w:t>
      </w:r>
      <w:r w:rsidRPr="00720911">
        <w:rPr>
          <w:lang w:val="fr-FR"/>
        </w:rPr>
        <w:t xml:space="preserve"> grands risques dans le modèle de perspective mondiale OCHA reçoivent 10 points supplémentaires </w:t>
      </w:r>
      <w:r>
        <w:rPr>
          <w:lang w:val="fr-FR"/>
        </w:rPr>
        <w:t>tandi</w:t>
      </w:r>
      <w:r w:rsidRPr="00720911">
        <w:rPr>
          <w:lang w:val="fr-FR"/>
        </w:rPr>
        <w:t>s</w:t>
      </w:r>
      <w:r>
        <w:rPr>
          <w:lang w:val="fr-FR"/>
        </w:rPr>
        <w:t xml:space="preserve"> que ceux qui sont confrontés à de grands risques reçoivent 6 points et ceux qui le sont à des risques moyens, 3. </w:t>
      </w:r>
      <w:r w:rsidRPr="00957D2E">
        <w:rPr>
          <w:lang w:val="fr-FR"/>
        </w:rPr>
        <w:t>L’inégali</w:t>
      </w:r>
      <w:r>
        <w:rPr>
          <w:lang w:val="fr-FR"/>
        </w:rPr>
        <w:t>té de revenus est notée de la mê</w:t>
      </w:r>
      <w:r w:rsidRPr="00957D2E">
        <w:rPr>
          <w:lang w:val="fr-FR"/>
        </w:rPr>
        <w:t xml:space="preserve">me manière, les pays étant groupés en très grande, grande et moyenne inégalité de revenus </w:t>
      </w:r>
      <w:r>
        <w:rPr>
          <w:lang w:val="fr-FR"/>
        </w:rPr>
        <w:t>et reçoivent des points selon un barème, 5 points étant le maximum. Le Tableau 6 en donne un exemple.</w:t>
      </w:r>
    </w:p>
    <w:p w:rsidR="001D71AD" w:rsidRPr="00957D2E" w:rsidRDefault="001D71AD" w:rsidP="00950295">
      <w:pPr>
        <w:ind w:left="1080" w:right="720"/>
        <w:jc w:val="both"/>
        <w:rPr>
          <w:lang w:val="fr-FR"/>
        </w:rPr>
      </w:pPr>
    </w:p>
    <w:p w:rsidR="001D71AD" w:rsidRPr="00AE3D84" w:rsidRDefault="001D71AD" w:rsidP="00DB4B8A">
      <w:pPr>
        <w:ind w:left="1080" w:right="720"/>
        <w:jc w:val="both"/>
        <w:rPr>
          <w:lang w:val="fr-CA"/>
        </w:rPr>
      </w:pPr>
      <w:r w:rsidRPr="00950295">
        <w:rPr>
          <w:b/>
          <w:lang w:val="fr-FR"/>
        </w:rPr>
        <w:t xml:space="preserve">Tableau6: </w:t>
      </w:r>
      <w:r w:rsidRPr="00AE3D84">
        <w:rPr>
          <w:b/>
          <w:lang w:val="fr-CA"/>
        </w:rPr>
        <w:t>Exemples de points complémentaires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350"/>
        <w:gridCol w:w="1350"/>
        <w:gridCol w:w="1350"/>
        <w:gridCol w:w="1350"/>
        <w:gridCol w:w="1080"/>
        <w:gridCol w:w="2070"/>
      </w:tblGrid>
      <w:tr w:rsidR="001D71AD" w:rsidRPr="004923E9" w:rsidTr="00DF6B08">
        <w:tc>
          <w:tcPr>
            <w:tcW w:w="1008" w:type="dxa"/>
          </w:tcPr>
          <w:p w:rsidR="001D71AD" w:rsidRPr="00AE3D84" w:rsidRDefault="001D71AD" w:rsidP="00DF6B08">
            <w:pPr>
              <w:jc w:val="both"/>
              <w:rPr>
                <w:b/>
                <w:sz w:val="18"/>
                <w:szCs w:val="24"/>
                <w:lang w:val="fr-CA"/>
              </w:rPr>
            </w:pPr>
          </w:p>
        </w:tc>
        <w:tc>
          <w:tcPr>
            <w:tcW w:w="2700" w:type="dxa"/>
            <w:gridSpan w:val="2"/>
          </w:tcPr>
          <w:p w:rsidR="001D71AD" w:rsidRPr="00AE3D84" w:rsidRDefault="001D71AD" w:rsidP="000A5C5B">
            <w:pPr>
              <w:jc w:val="both"/>
              <w:rPr>
                <w:b/>
                <w:sz w:val="18"/>
                <w:szCs w:val="24"/>
                <w:lang w:val="fr-CA"/>
              </w:rPr>
            </w:pPr>
            <w:r w:rsidRPr="00AE3D84">
              <w:rPr>
                <w:b/>
                <w:sz w:val="18"/>
                <w:szCs w:val="24"/>
                <w:lang w:val="fr-CA"/>
              </w:rPr>
              <w:t>Fragilité et risque de crises humanitaires</w:t>
            </w:r>
          </w:p>
        </w:tc>
        <w:tc>
          <w:tcPr>
            <w:tcW w:w="2700" w:type="dxa"/>
            <w:gridSpan w:val="2"/>
          </w:tcPr>
          <w:p w:rsidR="001D71AD" w:rsidRPr="00AE3D84" w:rsidRDefault="001D71AD" w:rsidP="000A5C5B">
            <w:pPr>
              <w:jc w:val="both"/>
              <w:rPr>
                <w:b/>
                <w:sz w:val="18"/>
                <w:szCs w:val="24"/>
                <w:lang w:val="fr-CA"/>
              </w:rPr>
            </w:pPr>
            <w:r w:rsidRPr="00AE3D84">
              <w:rPr>
                <w:b/>
                <w:sz w:val="18"/>
                <w:szCs w:val="24"/>
                <w:lang w:val="fr-CA"/>
              </w:rPr>
              <w:t>Inégalité des revenus</w:t>
            </w:r>
          </w:p>
        </w:tc>
        <w:tc>
          <w:tcPr>
            <w:tcW w:w="1080" w:type="dxa"/>
          </w:tcPr>
          <w:p w:rsidR="001D71AD" w:rsidRPr="00AE3D84" w:rsidRDefault="001D71AD" w:rsidP="000A5C5B">
            <w:pPr>
              <w:jc w:val="both"/>
              <w:rPr>
                <w:b/>
                <w:sz w:val="18"/>
                <w:szCs w:val="24"/>
                <w:lang w:val="fr-CA"/>
              </w:rPr>
            </w:pPr>
            <w:r w:rsidRPr="00AE3D84">
              <w:rPr>
                <w:b/>
                <w:sz w:val="18"/>
                <w:szCs w:val="24"/>
                <w:lang w:val="fr-CA"/>
              </w:rPr>
              <w:t>Pointssupplémentaires</w:t>
            </w:r>
          </w:p>
        </w:tc>
        <w:tc>
          <w:tcPr>
            <w:tcW w:w="2070" w:type="dxa"/>
          </w:tcPr>
          <w:p w:rsidR="001D71AD" w:rsidRPr="00AE3D84" w:rsidRDefault="001D71AD" w:rsidP="000A5C5B">
            <w:pPr>
              <w:jc w:val="both"/>
              <w:rPr>
                <w:b/>
                <w:sz w:val="18"/>
                <w:szCs w:val="24"/>
                <w:lang w:val="fr-CA"/>
              </w:rPr>
            </w:pPr>
            <w:r w:rsidRPr="00AE3D84">
              <w:rPr>
                <w:b/>
                <w:sz w:val="18"/>
                <w:szCs w:val="24"/>
                <w:lang w:val="fr-CA"/>
              </w:rPr>
              <w:t>Total final de points (combinant les points antérieurs avec les points supplémentaires)</w:t>
            </w:r>
          </w:p>
        </w:tc>
      </w:tr>
      <w:tr w:rsidR="001D71AD" w:rsidRPr="00AE3D84" w:rsidTr="00DF6B08">
        <w:tc>
          <w:tcPr>
            <w:tcW w:w="1008" w:type="dxa"/>
          </w:tcPr>
          <w:p w:rsidR="001D71AD" w:rsidRPr="00AE3D84" w:rsidRDefault="001D71AD" w:rsidP="00986E5B">
            <w:pPr>
              <w:jc w:val="both"/>
              <w:rPr>
                <w:b/>
                <w:sz w:val="18"/>
                <w:szCs w:val="24"/>
                <w:lang w:val="fr-CA"/>
              </w:rPr>
            </w:pPr>
            <w:r w:rsidRPr="00AE3D84">
              <w:rPr>
                <w:b/>
                <w:sz w:val="18"/>
                <w:szCs w:val="24"/>
                <w:lang w:val="fr-CA"/>
              </w:rPr>
              <w:t>Pays</w:t>
            </w:r>
          </w:p>
        </w:tc>
        <w:tc>
          <w:tcPr>
            <w:tcW w:w="1350" w:type="dxa"/>
          </w:tcPr>
          <w:p w:rsidR="001D71AD" w:rsidRPr="00AE3D84" w:rsidRDefault="001D71AD" w:rsidP="00986E5B">
            <w:pPr>
              <w:jc w:val="both"/>
              <w:rPr>
                <w:b/>
                <w:sz w:val="18"/>
                <w:szCs w:val="24"/>
                <w:lang w:val="fr-CA"/>
              </w:rPr>
            </w:pPr>
            <w:r w:rsidRPr="00AE3D84">
              <w:rPr>
                <w:b/>
                <w:sz w:val="18"/>
                <w:szCs w:val="24"/>
                <w:lang w:val="fr-CA"/>
              </w:rPr>
              <w:t>Situation</w:t>
            </w:r>
          </w:p>
        </w:tc>
        <w:tc>
          <w:tcPr>
            <w:tcW w:w="1350" w:type="dxa"/>
          </w:tcPr>
          <w:p w:rsidR="001D71AD" w:rsidRPr="00AE3D84" w:rsidRDefault="001D71AD" w:rsidP="00DF6B08">
            <w:pPr>
              <w:jc w:val="both"/>
              <w:rPr>
                <w:b/>
                <w:sz w:val="18"/>
                <w:szCs w:val="24"/>
                <w:lang w:val="fr-CA"/>
              </w:rPr>
            </w:pPr>
            <w:r w:rsidRPr="00AE3D84">
              <w:rPr>
                <w:b/>
                <w:sz w:val="18"/>
                <w:szCs w:val="24"/>
                <w:lang w:val="fr-CA"/>
              </w:rPr>
              <w:t>Points</w:t>
            </w:r>
          </w:p>
        </w:tc>
        <w:tc>
          <w:tcPr>
            <w:tcW w:w="1350" w:type="dxa"/>
          </w:tcPr>
          <w:p w:rsidR="001D71AD" w:rsidRPr="00AE3D84" w:rsidRDefault="001D71AD" w:rsidP="00DF6B08">
            <w:pPr>
              <w:jc w:val="both"/>
              <w:rPr>
                <w:b/>
                <w:sz w:val="18"/>
                <w:szCs w:val="24"/>
                <w:lang w:val="fr-CA"/>
              </w:rPr>
            </w:pPr>
            <w:r w:rsidRPr="00AE3D84">
              <w:rPr>
                <w:b/>
                <w:sz w:val="18"/>
                <w:szCs w:val="24"/>
                <w:lang w:val="fr-CA"/>
              </w:rPr>
              <w:t>Quadrant</w:t>
            </w:r>
          </w:p>
        </w:tc>
        <w:tc>
          <w:tcPr>
            <w:tcW w:w="1350" w:type="dxa"/>
          </w:tcPr>
          <w:p w:rsidR="001D71AD" w:rsidRPr="00AE3D84" w:rsidRDefault="001D71AD" w:rsidP="00DF6B08">
            <w:pPr>
              <w:jc w:val="both"/>
              <w:rPr>
                <w:b/>
                <w:sz w:val="18"/>
                <w:szCs w:val="24"/>
                <w:lang w:val="fr-CA"/>
              </w:rPr>
            </w:pPr>
            <w:r w:rsidRPr="00AE3D84">
              <w:rPr>
                <w:b/>
                <w:sz w:val="18"/>
                <w:szCs w:val="24"/>
                <w:lang w:val="fr-CA"/>
              </w:rPr>
              <w:t>Points</w:t>
            </w:r>
          </w:p>
        </w:tc>
        <w:tc>
          <w:tcPr>
            <w:tcW w:w="1080" w:type="dxa"/>
          </w:tcPr>
          <w:p w:rsidR="001D71AD" w:rsidRPr="00AE3D84" w:rsidRDefault="001D71AD" w:rsidP="00DF6B08">
            <w:pPr>
              <w:jc w:val="both"/>
              <w:rPr>
                <w:b/>
                <w:sz w:val="18"/>
                <w:szCs w:val="24"/>
                <w:lang w:val="fr-CA"/>
              </w:rPr>
            </w:pPr>
          </w:p>
        </w:tc>
        <w:tc>
          <w:tcPr>
            <w:tcW w:w="2070" w:type="dxa"/>
          </w:tcPr>
          <w:p w:rsidR="001D71AD" w:rsidRPr="00AE3D84" w:rsidRDefault="001D71AD" w:rsidP="00DF6B08">
            <w:pPr>
              <w:jc w:val="both"/>
              <w:rPr>
                <w:b/>
                <w:sz w:val="18"/>
                <w:szCs w:val="24"/>
                <w:lang w:val="fr-CA"/>
              </w:rPr>
            </w:pPr>
          </w:p>
        </w:tc>
      </w:tr>
      <w:tr w:rsidR="001D71AD" w:rsidRPr="00AE3D84" w:rsidTr="00DF6B08">
        <w:tc>
          <w:tcPr>
            <w:tcW w:w="1008" w:type="dxa"/>
          </w:tcPr>
          <w:p w:rsidR="001D71AD" w:rsidRPr="00AE3D84" w:rsidRDefault="001D71AD" w:rsidP="00DF6B08">
            <w:pPr>
              <w:jc w:val="both"/>
              <w:rPr>
                <w:sz w:val="18"/>
                <w:szCs w:val="24"/>
                <w:lang w:val="fr-CA"/>
              </w:rPr>
            </w:pPr>
            <w:r w:rsidRPr="00AE3D84">
              <w:rPr>
                <w:sz w:val="18"/>
                <w:szCs w:val="24"/>
                <w:lang w:val="fr-CA"/>
              </w:rPr>
              <w:t>Botswana</w:t>
            </w:r>
          </w:p>
        </w:tc>
        <w:tc>
          <w:tcPr>
            <w:tcW w:w="1350" w:type="dxa"/>
          </w:tcPr>
          <w:p w:rsidR="001D71AD" w:rsidRPr="00AE3D84" w:rsidRDefault="001D71AD" w:rsidP="00F21AA2">
            <w:pPr>
              <w:jc w:val="both"/>
              <w:rPr>
                <w:sz w:val="18"/>
                <w:szCs w:val="24"/>
                <w:lang w:val="fr-CA"/>
              </w:rPr>
            </w:pPr>
            <w:r w:rsidRPr="00AE3D84">
              <w:rPr>
                <w:sz w:val="18"/>
                <w:szCs w:val="24"/>
                <w:lang w:val="fr-CA"/>
              </w:rPr>
              <w:t>Aucun</w:t>
            </w:r>
          </w:p>
        </w:tc>
        <w:tc>
          <w:tcPr>
            <w:tcW w:w="1350" w:type="dxa"/>
          </w:tcPr>
          <w:p w:rsidR="001D71AD" w:rsidRPr="00AE3D84" w:rsidRDefault="001D71AD" w:rsidP="00DF6B08">
            <w:pPr>
              <w:jc w:val="both"/>
              <w:rPr>
                <w:sz w:val="18"/>
                <w:szCs w:val="24"/>
                <w:lang w:val="fr-CA"/>
              </w:rPr>
            </w:pPr>
            <w:r w:rsidRPr="00AE3D84">
              <w:rPr>
                <w:sz w:val="18"/>
                <w:szCs w:val="24"/>
                <w:lang w:val="fr-CA"/>
              </w:rPr>
              <w:t>0</w:t>
            </w:r>
          </w:p>
        </w:tc>
        <w:tc>
          <w:tcPr>
            <w:tcW w:w="1350" w:type="dxa"/>
          </w:tcPr>
          <w:p w:rsidR="001D71AD" w:rsidRPr="00AE3D84" w:rsidRDefault="001D71AD" w:rsidP="00986E5B">
            <w:pPr>
              <w:jc w:val="both"/>
              <w:rPr>
                <w:sz w:val="18"/>
                <w:szCs w:val="24"/>
                <w:lang w:val="fr-CA"/>
              </w:rPr>
            </w:pPr>
            <w:r w:rsidRPr="00AE3D84">
              <w:rPr>
                <w:sz w:val="18"/>
                <w:szCs w:val="24"/>
                <w:lang w:val="fr-CA"/>
              </w:rPr>
              <w:t>Grand</w:t>
            </w:r>
            <w:r>
              <w:rPr>
                <w:sz w:val="18"/>
                <w:szCs w:val="24"/>
                <w:lang w:val="fr-CA"/>
              </w:rPr>
              <w:t>s</w:t>
            </w:r>
          </w:p>
        </w:tc>
        <w:tc>
          <w:tcPr>
            <w:tcW w:w="1350" w:type="dxa"/>
          </w:tcPr>
          <w:p w:rsidR="001D71AD" w:rsidRPr="00AE3D84" w:rsidRDefault="001D71AD" w:rsidP="00DF6B08">
            <w:pPr>
              <w:jc w:val="both"/>
              <w:rPr>
                <w:sz w:val="18"/>
                <w:szCs w:val="24"/>
                <w:lang w:val="fr-CA"/>
              </w:rPr>
            </w:pPr>
            <w:r w:rsidRPr="00AE3D84">
              <w:rPr>
                <w:sz w:val="18"/>
                <w:szCs w:val="24"/>
                <w:lang w:val="fr-CA"/>
              </w:rPr>
              <w:t>3</w:t>
            </w:r>
          </w:p>
        </w:tc>
        <w:tc>
          <w:tcPr>
            <w:tcW w:w="1080" w:type="dxa"/>
          </w:tcPr>
          <w:p w:rsidR="001D71AD" w:rsidRPr="00AE3D84" w:rsidRDefault="001D71AD" w:rsidP="00DF6B08">
            <w:pPr>
              <w:jc w:val="both"/>
              <w:rPr>
                <w:sz w:val="18"/>
                <w:szCs w:val="24"/>
                <w:lang w:val="fr-CA"/>
              </w:rPr>
            </w:pPr>
            <w:r w:rsidRPr="00AE3D84">
              <w:rPr>
                <w:sz w:val="18"/>
                <w:szCs w:val="24"/>
                <w:lang w:val="fr-CA"/>
              </w:rPr>
              <w:t>3</w:t>
            </w:r>
          </w:p>
        </w:tc>
        <w:tc>
          <w:tcPr>
            <w:tcW w:w="2070" w:type="dxa"/>
          </w:tcPr>
          <w:p w:rsidR="001D71AD" w:rsidRPr="00AE3D84" w:rsidRDefault="001D71AD" w:rsidP="00DF6B08">
            <w:pPr>
              <w:jc w:val="both"/>
              <w:rPr>
                <w:sz w:val="18"/>
                <w:szCs w:val="24"/>
                <w:lang w:val="fr-CA"/>
              </w:rPr>
            </w:pPr>
            <w:r w:rsidRPr="00AE3D84">
              <w:rPr>
                <w:sz w:val="18"/>
                <w:szCs w:val="24"/>
                <w:lang w:val="fr-CA"/>
              </w:rPr>
              <w:t>31</w:t>
            </w:r>
          </w:p>
        </w:tc>
      </w:tr>
      <w:tr w:rsidR="001D71AD" w:rsidRPr="00AE3D84" w:rsidTr="00DF6B08">
        <w:tc>
          <w:tcPr>
            <w:tcW w:w="1008" w:type="dxa"/>
          </w:tcPr>
          <w:p w:rsidR="001D71AD" w:rsidRPr="00AE3D84" w:rsidRDefault="001D71AD" w:rsidP="00986E5B">
            <w:pPr>
              <w:jc w:val="both"/>
              <w:rPr>
                <w:sz w:val="18"/>
                <w:szCs w:val="24"/>
                <w:lang w:val="fr-CA"/>
              </w:rPr>
            </w:pPr>
            <w:r w:rsidRPr="00AE3D84">
              <w:rPr>
                <w:sz w:val="18"/>
                <w:szCs w:val="24"/>
                <w:lang w:val="fr-CA"/>
              </w:rPr>
              <w:t>Tchad</w:t>
            </w:r>
          </w:p>
        </w:tc>
        <w:tc>
          <w:tcPr>
            <w:tcW w:w="1350" w:type="dxa"/>
          </w:tcPr>
          <w:p w:rsidR="001D71AD" w:rsidRPr="00AE3D84" w:rsidRDefault="001D71AD" w:rsidP="00F21AA2">
            <w:pPr>
              <w:jc w:val="both"/>
              <w:rPr>
                <w:sz w:val="18"/>
                <w:szCs w:val="24"/>
                <w:lang w:val="fr-CA"/>
              </w:rPr>
            </w:pPr>
            <w:r w:rsidRPr="00AE3D84">
              <w:rPr>
                <w:sz w:val="18"/>
                <w:szCs w:val="24"/>
                <w:lang w:val="fr-CA"/>
              </w:rPr>
              <w:t>Très grand</w:t>
            </w:r>
          </w:p>
        </w:tc>
        <w:tc>
          <w:tcPr>
            <w:tcW w:w="1350" w:type="dxa"/>
          </w:tcPr>
          <w:p w:rsidR="001D71AD" w:rsidRPr="00AE3D84" w:rsidRDefault="001D71AD" w:rsidP="00DF6B08">
            <w:pPr>
              <w:jc w:val="both"/>
              <w:rPr>
                <w:sz w:val="18"/>
                <w:szCs w:val="24"/>
                <w:lang w:val="fr-CA"/>
              </w:rPr>
            </w:pPr>
            <w:r w:rsidRPr="00AE3D84">
              <w:rPr>
                <w:sz w:val="18"/>
                <w:szCs w:val="24"/>
                <w:lang w:val="fr-CA"/>
              </w:rPr>
              <w:t>10</w:t>
            </w:r>
          </w:p>
        </w:tc>
        <w:tc>
          <w:tcPr>
            <w:tcW w:w="1350" w:type="dxa"/>
          </w:tcPr>
          <w:p w:rsidR="001D71AD" w:rsidRPr="00AE3D84" w:rsidRDefault="001D71AD" w:rsidP="00986E5B">
            <w:pPr>
              <w:jc w:val="both"/>
              <w:rPr>
                <w:sz w:val="18"/>
                <w:szCs w:val="24"/>
                <w:lang w:val="fr-CA"/>
              </w:rPr>
            </w:pPr>
            <w:r w:rsidRPr="00AE3D84">
              <w:rPr>
                <w:sz w:val="18"/>
                <w:szCs w:val="24"/>
                <w:lang w:val="fr-CA"/>
              </w:rPr>
              <w:t>Moyen</w:t>
            </w:r>
            <w:r>
              <w:rPr>
                <w:sz w:val="18"/>
                <w:szCs w:val="24"/>
                <w:lang w:val="fr-CA"/>
              </w:rPr>
              <w:t>s</w:t>
            </w:r>
          </w:p>
        </w:tc>
        <w:tc>
          <w:tcPr>
            <w:tcW w:w="1350" w:type="dxa"/>
          </w:tcPr>
          <w:p w:rsidR="001D71AD" w:rsidRPr="00AE3D84" w:rsidRDefault="001D71AD" w:rsidP="00DF6B08">
            <w:pPr>
              <w:jc w:val="both"/>
              <w:rPr>
                <w:sz w:val="18"/>
                <w:szCs w:val="24"/>
                <w:lang w:val="fr-CA"/>
              </w:rPr>
            </w:pPr>
            <w:r w:rsidRPr="00AE3D84">
              <w:rPr>
                <w:sz w:val="18"/>
                <w:szCs w:val="24"/>
                <w:lang w:val="fr-CA"/>
              </w:rPr>
              <w:t>1</w:t>
            </w:r>
          </w:p>
        </w:tc>
        <w:tc>
          <w:tcPr>
            <w:tcW w:w="1080" w:type="dxa"/>
          </w:tcPr>
          <w:p w:rsidR="001D71AD" w:rsidRPr="00AE3D84" w:rsidRDefault="001D71AD" w:rsidP="00DF6B08">
            <w:pPr>
              <w:jc w:val="both"/>
              <w:rPr>
                <w:sz w:val="18"/>
                <w:szCs w:val="24"/>
                <w:lang w:val="fr-CA"/>
              </w:rPr>
            </w:pPr>
            <w:r w:rsidRPr="00AE3D84">
              <w:rPr>
                <w:sz w:val="18"/>
                <w:szCs w:val="24"/>
                <w:lang w:val="fr-CA"/>
              </w:rPr>
              <w:t>11</w:t>
            </w:r>
          </w:p>
        </w:tc>
        <w:tc>
          <w:tcPr>
            <w:tcW w:w="2070" w:type="dxa"/>
          </w:tcPr>
          <w:p w:rsidR="001D71AD" w:rsidRPr="00AE3D84" w:rsidRDefault="001D71AD" w:rsidP="00DF6B08">
            <w:pPr>
              <w:jc w:val="both"/>
              <w:rPr>
                <w:sz w:val="18"/>
                <w:szCs w:val="24"/>
                <w:lang w:val="fr-CA"/>
              </w:rPr>
            </w:pPr>
            <w:r w:rsidRPr="00AE3D84">
              <w:rPr>
                <w:sz w:val="18"/>
                <w:szCs w:val="24"/>
                <w:lang w:val="fr-CA"/>
              </w:rPr>
              <w:t>103</w:t>
            </w:r>
          </w:p>
        </w:tc>
      </w:tr>
      <w:tr w:rsidR="001D71AD" w:rsidRPr="00AE3D84" w:rsidTr="00DF6B08">
        <w:tc>
          <w:tcPr>
            <w:tcW w:w="1008" w:type="dxa"/>
          </w:tcPr>
          <w:p w:rsidR="001D71AD" w:rsidRPr="00AE3D84" w:rsidRDefault="001D71AD" w:rsidP="00986E5B">
            <w:pPr>
              <w:jc w:val="both"/>
              <w:rPr>
                <w:sz w:val="18"/>
                <w:szCs w:val="24"/>
                <w:lang w:val="fr-CA"/>
              </w:rPr>
            </w:pPr>
            <w:r w:rsidRPr="00AE3D84">
              <w:rPr>
                <w:sz w:val="18"/>
                <w:szCs w:val="24"/>
                <w:lang w:val="fr-CA"/>
              </w:rPr>
              <w:t>Yémen</w:t>
            </w:r>
          </w:p>
        </w:tc>
        <w:tc>
          <w:tcPr>
            <w:tcW w:w="1350" w:type="dxa"/>
          </w:tcPr>
          <w:p w:rsidR="001D71AD" w:rsidRPr="00AE3D84" w:rsidRDefault="001D71AD" w:rsidP="00F21AA2">
            <w:pPr>
              <w:jc w:val="both"/>
              <w:rPr>
                <w:sz w:val="18"/>
                <w:szCs w:val="24"/>
                <w:lang w:val="fr-CA"/>
              </w:rPr>
            </w:pPr>
            <w:r w:rsidRPr="00AE3D84">
              <w:rPr>
                <w:sz w:val="18"/>
                <w:szCs w:val="24"/>
                <w:lang w:val="fr-CA"/>
              </w:rPr>
              <w:t>Très grand</w:t>
            </w:r>
          </w:p>
        </w:tc>
        <w:tc>
          <w:tcPr>
            <w:tcW w:w="1350" w:type="dxa"/>
          </w:tcPr>
          <w:p w:rsidR="001D71AD" w:rsidRPr="00AE3D84" w:rsidRDefault="001D71AD" w:rsidP="00DF6B08">
            <w:pPr>
              <w:jc w:val="both"/>
              <w:rPr>
                <w:sz w:val="18"/>
                <w:szCs w:val="24"/>
                <w:lang w:val="fr-CA"/>
              </w:rPr>
            </w:pPr>
            <w:r w:rsidRPr="00AE3D84">
              <w:rPr>
                <w:sz w:val="18"/>
                <w:szCs w:val="24"/>
                <w:lang w:val="fr-CA"/>
              </w:rPr>
              <w:t>10</w:t>
            </w:r>
          </w:p>
        </w:tc>
        <w:tc>
          <w:tcPr>
            <w:tcW w:w="1350" w:type="dxa"/>
          </w:tcPr>
          <w:p w:rsidR="001D71AD" w:rsidRPr="00AE3D84" w:rsidRDefault="001D71AD" w:rsidP="002A1B9B">
            <w:pPr>
              <w:jc w:val="both"/>
              <w:rPr>
                <w:sz w:val="18"/>
                <w:szCs w:val="24"/>
                <w:lang w:val="fr-CA"/>
              </w:rPr>
            </w:pPr>
            <w:r w:rsidRPr="00AE3D84">
              <w:rPr>
                <w:sz w:val="18"/>
                <w:szCs w:val="24"/>
                <w:lang w:val="fr-CA"/>
              </w:rPr>
              <w:t>M</w:t>
            </w:r>
            <w:r>
              <w:rPr>
                <w:sz w:val="18"/>
                <w:szCs w:val="24"/>
                <w:lang w:val="fr-CA"/>
              </w:rPr>
              <w:t>oyens</w:t>
            </w:r>
          </w:p>
        </w:tc>
        <w:tc>
          <w:tcPr>
            <w:tcW w:w="1350" w:type="dxa"/>
          </w:tcPr>
          <w:p w:rsidR="001D71AD" w:rsidRPr="00AE3D84" w:rsidRDefault="001D71AD" w:rsidP="00DF6B08">
            <w:pPr>
              <w:jc w:val="both"/>
              <w:rPr>
                <w:sz w:val="18"/>
                <w:szCs w:val="24"/>
                <w:lang w:val="fr-CA"/>
              </w:rPr>
            </w:pPr>
            <w:r w:rsidRPr="00AE3D84">
              <w:rPr>
                <w:sz w:val="18"/>
                <w:szCs w:val="24"/>
                <w:lang w:val="fr-CA"/>
              </w:rPr>
              <w:t>1</w:t>
            </w:r>
          </w:p>
        </w:tc>
        <w:tc>
          <w:tcPr>
            <w:tcW w:w="1080" w:type="dxa"/>
          </w:tcPr>
          <w:p w:rsidR="001D71AD" w:rsidRPr="00AE3D84" w:rsidRDefault="001D71AD" w:rsidP="00DF6B08">
            <w:pPr>
              <w:jc w:val="both"/>
              <w:rPr>
                <w:sz w:val="18"/>
                <w:szCs w:val="24"/>
                <w:lang w:val="fr-CA"/>
              </w:rPr>
            </w:pPr>
            <w:r w:rsidRPr="00AE3D84">
              <w:rPr>
                <w:sz w:val="18"/>
                <w:szCs w:val="24"/>
                <w:lang w:val="fr-CA"/>
              </w:rPr>
              <w:t>11</w:t>
            </w:r>
          </w:p>
        </w:tc>
        <w:tc>
          <w:tcPr>
            <w:tcW w:w="2070" w:type="dxa"/>
          </w:tcPr>
          <w:p w:rsidR="001D71AD" w:rsidRPr="00AE3D84" w:rsidRDefault="001D71AD" w:rsidP="00DF6B08">
            <w:pPr>
              <w:jc w:val="both"/>
              <w:rPr>
                <w:sz w:val="18"/>
                <w:szCs w:val="24"/>
                <w:lang w:val="fr-CA"/>
              </w:rPr>
            </w:pPr>
            <w:r w:rsidRPr="00AE3D84">
              <w:rPr>
                <w:sz w:val="18"/>
                <w:szCs w:val="24"/>
                <w:lang w:val="fr-CA"/>
              </w:rPr>
              <w:t>68</w:t>
            </w:r>
          </w:p>
        </w:tc>
      </w:tr>
    </w:tbl>
    <w:p w:rsidR="001D71AD" w:rsidRPr="00AE3D84" w:rsidRDefault="001D71AD" w:rsidP="00DB4B8A">
      <w:pPr>
        <w:ind w:left="1080" w:right="720"/>
        <w:jc w:val="both"/>
        <w:rPr>
          <w:lang w:val="fr-CA"/>
        </w:rPr>
      </w:pPr>
    </w:p>
    <w:p w:rsidR="001D71AD" w:rsidRPr="00986E5B" w:rsidRDefault="001D71AD" w:rsidP="00BB13A1">
      <w:pPr>
        <w:numPr>
          <w:ilvl w:val="0"/>
          <w:numId w:val="4"/>
        </w:numPr>
        <w:ind w:left="1080" w:right="720" w:firstLine="0"/>
        <w:jc w:val="both"/>
        <w:rPr>
          <w:lang w:val="fr-FR"/>
        </w:rPr>
      </w:pPr>
      <w:r w:rsidRPr="00986E5B">
        <w:rPr>
          <w:lang w:val="fr-FR"/>
        </w:rPr>
        <w:t>Il est accordé ensuite une classification aux pays fondée sur leur total final de points, les pays étant répar</w:t>
      </w:r>
      <w:r>
        <w:rPr>
          <w:lang w:val="fr-FR"/>
        </w:rPr>
        <w:t>ti</w:t>
      </w:r>
      <w:r w:rsidRPr="00986E5B">
        <w:rPr>
          <w:lang w:val="fr-FR"/>
        </w:rPr>
        <w:t xml:space="preserve">s en quartiles (c.-à-d. le quart des pays ayant les totaux les plus élevés est considéré besoins les plus grands). </w:t>
      </w:r>
    </w:p>
    <w:p w:rsidR="001D71AD" w:rsidRPr="00986E5B" w:rsidRDefault="001D71AD" w:rsidP="00950295">
      <w:pPr>
        <w:ind w:left="1080" w:right="720"/>
        <w:jc w:val="both"/>
        <w:rPr>
          <w:lang w:val="fr-FR"/>
        </w:rPr>
      </w:pPr>
    </w:p>
    <w:p w:rsidR="001D71AD" w:rsidRPr="00445095" w:rsidRDefault="001D71AD" w:rsidP="002A1B9B">
      <w:pPr>
        <w:pStyle w:val="Heading3"/>
        <w:numPr>
          <w:ilvl w:val="0"/>
          <w:numId w:val="9"/>
        </w:numPr>
        <w:ind w:hanging="2610"/>
      </w:pPr>
      <w:r w:rsidRPr="00445095">
        <w:t>Calcul</w:t>
      </w:r>
      <w:r w:rsidRPr="0071090A">
        <w:rPr>
          <w:lang w:val="fr-FR"/>
        </w:rPr>
        <w:t>er les attributions i</w:t>
      </w:r>
      <w:r w:rsidRPr="00445095">
        <w:t>ndicativ</w:t>
      </w:r>
      <w:r w:rsidRPr="0071090A">
        <w:rPr>
          <w:lang w:val="fr-FR"/>
        </w:rPr>
        <w:t>es</w:t>
      </w:r>
      <w:r>
        <w:rPr>
          <w:lang w:val="fr-FR"/>
        </w:rPr>
        <w:t>en fonction des besoins</w:t>
      </w:r>
    </w:p>
    <w:p w:rsidR="001D71AD" w:rsidRPr="0071090A" w:rsidRDefault="001D71AD" w:rsidP="005343C4">
      <w:pPr>
        <w:ind w:left="1080" w:right="720"/>
        <w:jc w:val="both"/>
        <w:rPr>
          <w:lang w:val="fr-FR"/>
        </w:rPr>
      </w:pPr>
    </w:p>
    <w:p w:rsidR="001D71AD" w:rsidRPr="001669ED" w:rsidRDefault="001D71AD" w:rsidP="00BB13A1">
      <w:pPr>
        <w:numPr>
          <w:ilvl w:val="0"/>
          <w:numId w:val="4"/>
        </w:numPr>
        <w:ind w:left="1080" w:right="720" w:firstLine="0"/>
        <w:jc w:val="both"/>
        <w:rPr>
          <w:lang w:val="fr-FR"/>
        </w:rPr>
      </w:pPr>
      <w:r w:rsidRPr="00D0559C">
        <w:rPr>
          <w:lang w:val="fr-FR"/>
        </w:rPr>
        <w:t>L’un des problèmes du SAR actuel est que le pourcentage de ressources allant à chaque groupe de pays (les group</w:t>
      </w:r>
      <w:r>
        <w:rPr>
          <w:lang w:val="fr-FR"/>
        </w:rPr>
        <w:t>e</w:t>
      </w:r>
      <w:r w:rsidRPr="00D0559C">
        <w:rPr>
          <w:lang w:val="fr-FR"/>
        </w:rPr>
        <w:t>s A, B et C) ne repose pas sur un crit</w:t>
      </w:r>
      <w:r>
        <w:rPr>
          <w:lang w:val="fr-FR"/>
        </w:rPr>
        <w:t xml:space="preserve">ère épidémiologique ou autre. </w:t>
      </w:r>
      <w:r w:rsidRPr="001669ED">
        <w:rPr>
          <w:lang w:val="fr-FR"/>
        </w:rPr>
        <w:t>En fait, il repose avant tout sur l</w:t>
      </w:r>
      <w:r>
        <w:rPr>
          <w:lang w:val="fr-FR"/>
        </w:rPr>
        <w:t>es</w:t>
      </w:r>
      <w:r w:rsidRPr="001669ED">
        <w:rPr>
          <w:lang w:val="fr-FR"/>
        </w:rPr>
        <w:t xml:space="preserve"> version</w:t>
      </w:r>
      <w:r>
        <w:rPr>
          <w:lang w:val="fr-FR"/>
        </w:rPr>
        <w:t>s</w:t>
      </w:r>
      <w:r w:rsidRPr="001669ED">
        <w:rPr>
          <w:lang w:val="fr-FR"/>
        </w:rPr>
        <w:t xml:space="preserve"> antérieure</w:t>
      </w:r>
      <w:r>
        <w:rPr>
          <w:lang w:val="fr-FR"/>
        </w:rPr>
        <w:t>s</w:t>
      </w:r>
      <w:r w:rsidRPr="001669ED">
        <w:rPr>
          <w:lang w:val="fr-FR"/>
        </w:rPr>
        <w:t xml:space="preserve"> du SAR. </w:t>
      </w:r>
    </w:p>
    <w:p w:rsidR="001D71AD" w:rsidRPr="001669ED" w:rsidRDefault="001D71AD" w:rsidP="007219B2">
      <w:pPr>
        <w:ind w:left="1080" w:right="720"/>
        <w:jc w:val="both"/>
        <w:rPr>
          <w:lang w:val="fr-FR"/>
        </w:rPr>
      </w:pPr>
    </w:p>
    <w:p w:rsidR="001D71AD" w:rsidRPr="00824BFA" w:rsidRDefault="001D71AD" w:rsidP="00BB13A1">
      <w:pPr>
        <w:numPr>
          <w:ilvl w:val="0"/>
          <w:numId w:val="4"/>
        </w:numPr>
        <w:ind w:left="1080" w:right="720" w:firstLine="0"/>
        <w:jc w:val="both"/>
        <w:rPr>
          <w:lang w:val="fr-FR"/>
        </w:rPr>
      </w:pPr>
      <w:r>
        <w:rPr>
          <w:lang w:val="fr-FR"/>
        </w:rPr>
        <w:t xml:space="preserve">La méthode n’est </w:t>
      </w:r>
      <w:r w:rsidRPr="00D0559C">
        <w:rPr>
          <w:lang w:val="fr-FR"/>
        </w:rPr>
        <w:t>évidemment pas idéale et le système de c</w:t>
      </w:r>
      <w:r>
        <w:rPr>
          <w:lang w:val="fr-FR"/>
        </w:rPr>
        <w:t xml:space="preserve">lassement </w:t>
      </w:r>
      <w:r w:rsidRPr="00D0559C">
        <w:rPr>
          <w:lang w:val="fr-FR"/>
        </w:rPr>
        <w:t xml:space="preserve">des pays </w:t>
      </w:r>
      <w:r>
        <w:rPr>
          <w:lang w:val="fr-FR"/>
        </w:rPr>
        <w:t xml:space="preserve">en catégories </w:t>
      </w:r>
      <w:r w:rsidRPr="00D0559C">
        <w:rPr>
          <w:lang w:val="fr-FR"/>
        </w:rPr>
        <w:t>par besoin</w:t>
      </w:r>
      <w:r>
        <w:rPr>
          <w:lang w:val="fr-FR"/>
        </w:rPr>
        <w:t xml:space="preserve">sévalués par des </w:t>
      </w:r>
      <w:r w:rsidRPr="00D0559C">
        <w:rPr>
          <w:lang w:val="fr-FR"/>
        </w:rPr>
        <w:t>points es</w:t>
      </w:r>
      <w:r>
        <w:rPr>
          <w:lang w:val="fr-FR"/>
        </w:rPr>
        <w:t>t une manière plus robuste de dé</w:t>
      </w:r>
      <w:r w:rsidRPr="00D0559C">
        <w:rPr>
          <w:lang w:val="fr-FR"/>
        </w:rPr>
        <w:t xml:space="preserve">terminer le niveau de ressources approprié allant à chaque groupe. </w:t>
      </w:r>
      <w:r w:rsidRPr="007C2804">
        <w:rPr>
          <w:lang w:val="fr-FR"/>
        </w:rPr>
        <w:t>La première étape consiste à évaluer le volume de ressources disponibles pour les programmes de pays d</w:t>
      </w:r>
      <w:r>
        <w:rPr>
          <w:lang w:val="fr-FR"/>
        </w:rPr>
        <w:t xml:space="preserve">’après les projections de revenus pour 2014-2017 et la répartition des ressources totales disponible pour les programmes de pays. </w:t>
      </w:r>
      <w:r w:rsidRPr="007C2804">
        <w:rPr>
          <w:lang w:val="fr-FR"/>
        </w:rPr>
        <w:t>La deuxième étape est de retirer les ressources mises de côté pour d</w:t>
      </w:r>
      <w:r>
        <w:rPr>
          <w:lang w:val="fr-FR"/>
        </w:rPr>
        <w:t xml:space="preserve">’autres fins (par ex. les Fonds d’urgence destinés à la programmation humanitaire). </w:t>
      </w:r>
    </w:p>
    <w:p w:rsidR="001D71AD" w:rsidRPr="00824BFA" w:rsidRDefault="001D71AD" w:rsidP="007219B2">
      <w:pPr>
        <w:ind w:left="1080" w:right="720"/>
        <w:jc w:val="both"/>
        <w:rPr>
          <w:lang w:val="fr-FR"/>
        </w:rPr>
      </w:pPr>
    </w:p>
    <w:p w:rsidR="001D71AD" w:rsidRPr="00677003" w:rsidRDefault="001D71AD" w:rsidP="00BB13A1">
      <w:pPr>
        <w:numPr>
          <w:ilvl w:val="0"/>
          <w:numId w:val="4"/>
        </w:numPr>
        <w:ind w:left="1080" w:right="720" w:firstLine="0"/>
        <w:jc w:val="both"/>
        <w:rPr>
          <w:lang w:val="fr-FR"/>
        </w:rPr>
      </w:pPr>
      <w:r w:rsidRPr="00317D25">
        <w:rPr>
          <w:lang w:val="fr-FR"/>
        </w:rPr>
        <w:t>Ensuite, un montant minimal d’argent est mis de côté da</w:t>
      </w:r>
      <w:r>
        <w:rPr>
          <w:lang w:val="fr-FR"/>
        </w:rPr>
        <w:t>n</w:t>
      </w:r>
      <w:r w:rsidRPr="00317D25">
        <w:rPr>
          <w:lang w:val="fr-FR"/>
        </w:rPr>
        <w:t xml:space="preserve">s tous les pays pour la programmation. Ces ressources constituent un </w:t>
      </w:r>
      <w:r>
        <w:rPr>
          <w:lang w:val="fr-FR"/>
        </w:rPr>
        <w:t>« </w:t>
      </w:r>
      <w:r w:rsidRPr="00317D25">
        <w:rPr>
          <w:lang w:val="fr-FR"/>
        </w:rPr>
        <w:t>plancher</w:t>
      </w:r>
      <w:r>
        <w:rPr>
          <w:lang w:val="fr-FR"/>
        </w:rPr>
        <w:t> »</w:t>
      </w:r>
      <w:r w:rsidRPr="00317D25">
        <w:rPr>
          <w:lang w:val="fr-FR"/>
        </w:rPr>
        <w:t xml:space="preserve">qui </w:t>
      </w:r>
      <w:r>
        <w:rPr>
          <w:lang w:val="fr-FR"/>
        </w:rPr>
        <w:t>donne</w:t>
      </w:r>
      <w:r w:rsidRPr="00317D25">
        <w:rPr>
          <w:lang w:val="fr-FR"/>
        </w:rPr>
        <w:t xml:space="preserve"> aux bureau</w:t>
      </w:r>
      <w:r>
        <w:rPr>
          <w:lang w:val="fr-FR"/>
        </w:rPr>
        <w:t>x</w:t>
      </w:r>
      <w:r w:rsidRPr="00317D25">
        <w:rPr>
          <w:lang w:val="fr-FR"/>
        </w:rPr>
        <w:t xml:space="preserve"> pays </w:t>
      </w:r>
      <w:r>
        <w:rPr>
          <w:lang w:val="fr-FR"/>
        </w:rPr>
        <w:t xml:space="preserve">une base leur permettant de procéder au plaidoyer et au dialogue/conseils de politique et d’intervenir sur des questions liées à la dynamique des populations et aux données. </w:t>
      </w:r>
      <w:r w:rsidRPr="00677003">
        <w:rPr>
          <w:lang w:val="fr-FR"/>
        </w:rPr>
        <w:t>Le plancher est fix</w:t>
      </w:r>
      <w:r>
        <w:rPr>
          <w:lang w:val="fr-FR"/>
        </w:rPr>
        <w:t>é à</w:t>
      </w:r>
      <w:r w:rsidRPr="00677003">
        <w:rPr>
          <w:lang w:val="fr-FR"/>
        </w:rPr>
        <w:t>500000 $ par an, par pays.</w:t>
      </w:r>
    </w:p>
    <w:p w:rsidR="001D71AD" w:rsidRPr="00677003" w:rsidRDefault="001D71AD" w:rsidP="007219B2">
      <w:pPr>
        <w:ind w:left="1080" w:right="720"/>
        <w:jc w:val="both"/>
        <w:rPr>
          <w:lang w:val="fr-FR"/>
        </w:rPr>
      </w:pPr>
    </w:p>
    <w:p w:rsidR="001D71AD" w:rsidRPr="00E3261B" w:rsidRDefault="001D71AD" w:rsidP="00BB13A1">
      <w:pPr>
        <w:numPr>
          <w:ilvl w:val="0"/>
          <w:numId w:val="4"/>
        </w:numPr>
        <w:ind w:left="1080" w:right="720" w:firstLine="0"/>
        <w:jc w:val="both"/>
        <w:rPr>
          <w:lang w:val="fr-FR"/>
        </w:rPr>
      </w:pPr>
      <w:r w:rsidRPr="00677003">
        <w:rPr>
          <w:lang w:val="fr-FR"/>
        </w:rPr>
        <w:t xml:space="preserve">Néanmoins, cette approche  soulève une question d’équité : certains des pays où intervient l’UNFPA sont beaucoup </w:t>
      </w:r>
      <w:r>
        <w:rPr>
          <w:lang w:val="fr-FR"/>
        </w:rPr>
        <w:t>mieux à même</w:t>
      </w:r>
      <w:r w:rsidRPr="00677003">
        <w:rPr>
          <w:lang w:val="fr-FR"/>
        </w:rPr>
        <w:t xml:space="preserve"> que d’autres de couvrir eux-mêmes ces coûts de base. </w:t>
      </w:r>
      <w:r w:rsidRPr="00824BFA">
        <w:rPr>
          <w:lang w:val="fr-FR"/>
        </w:rPr>
        <w:t>L’UNFPA ne fait actuellement pas partie du nombre croissant d’institutions multilat</w:t>
      </w:r>
      <w:r>
        <w:rPr>
          <w:lang w:val="fr-FR"/>
        </w:rPr>
        <w:t>é</w:t>
      </w:r>
      <w:r w:rsidRPr="00824BFA">
        <w:rPr>
          <w:lang w:val="fr-FR"/>
        </w:rPr>
        <w:t>ral</w:t>
      </w:r>
      <w:r>
        <w:rPr>
          <w:lang w:val="fr-FR"/>
        </w:rPr>
        <w:t>e</w:t>
      </w:r>
      <w:r w:rsidRPr="00824BFA">
        <w:rPr>
          <w:lang w:val="fr-FR"/>
        </w:rPr>
        <w:t>s qui demande un niveau de co-financement des pays les plus riches dans lesquels il intervient.À une époque où une part croissante des ressources est dirigée à la partie ressources autres que les ressources de base</w:t>
      </w:r>
      <w:r>
        <w:rPr>
          <w:lang w:val="fr-FR"/>
        </w:rPr>
        <w:t xml:space="preserve"> du budget de l’organisation, cette position est de moins en moins soutenable. </w:t>
      </w:r>
      <w:r w:rsidRPr="00E3261B">
        <w:rPr>
          <w:lang w:val="fr-FR"/>
        </w:rPr>
        <w:t xml:space="preserve">En </w:t>
      </w:r>
      <w:r>
        <w:rPr>
          <w:lang w:val="fr-FR"/>
        </w:rPr>
        <w:t>consé</w:t>
      </w:r>
      <w:r w:rsidRPr="00E3261B">
        <w:rPr>
          <w:lang w:val="fr-FR"/>
        </w:rPr>
        <w:t xml:space="preserve">quence, la </w:t>
      </w:r>
      <w:r>
        <w:rPr>
          <w:lang w:val="fr-FR"/>
        </w:rPr>
        <w:t>mé</w:t>
      </w:r>
      <w:r w:rsidRPr="00E3261B">
        <w:rPr>
          <w:lang w:val="fr-FR"/>
        </w:rPr>
        <w:t>thod</w:t>
      </w:r>
      <w:r>
        <w:rPr>
          <w:lang w:val="fr-FR"/>
        </w:rPr>
        <w:t>e</w:t>
      </w:r>
      <w:r w:rsidRPr="00E3261B">
        <w:rPr>
          <w:lang w:val="fr-FR"/>
        </w:rPr>
        <w:t xml:space="preserve"> ne peut que bénéficier des débats qui se sont déroulés dans le context</w:t>
      </w:r>
      <w:r>
        <w:rPr>
          <w:lang w:val="fr-FR"/>
        </w:rPr>
        <w:t>e</w:t>
      </w:r>
      <w:r w:rsidRPr="00E3261B">
        <w:rPr>
          <w:lang w:val="fr-FR"/>
        </w:rPr>
        <w:t xml:space="preserve"> des dispositions de financement du PNUD dans lesquelles il a été convenu que certains pays devraient financer une partie des co</w:t>
      </w:r>
      <w:r>
        <w:rPr>
          <w:lang w:val="fr-FR"/>
        </w:rPr>
        <w:t xml:space="preserve">ûts eux-mêmes. </w:t>
      </w:r>
    </w:p>
    <w:p w:rsidR="001D71AD" w:rsidRPr="00E3261B" w:rsidRDefault="001D71AD" w:rsidP="007219B2">
      <w:pPr>
        <w:ind w:left="1080" w:right="720"/>
        <w:jc w:val="both"/>
        <w:rPr>
          <w:lang w:val="fr-FR"/>
        </w:rPr>
      </w:pPr>
    </w:p>
    <w:p w:rsidR="001D71AD" w:rsidRPr="002C0BC5" w:rsidRDefault="001D71AD" w:rsidP="00BB13A1">
      <w:pPr>
        <w:numPr>
          <w:ilvl w:val="0"/>
          <w:numId w:val="4"/>
        </w:numPr>
        <w:ind w:left="1080" w:right="720" w:firstLine="0"/>
        <w:jc w:val="both"/>
        <w:rPr>
          <w:lang w:val="fr-FR"/>
        </w:rPr>
      </w:pPr>
      <w:r>
        <w:rPr>
          <w:lang w:val="fr-FR"/>
        </w:rPr>
        <w:t>Le</w:t>
      </w:r>
      <w:r w:rsidRPr="00E3261B">
        <w:rPr>
          <w:lang w:val="fr-FR"/>
        </w:rPr>
        <w:t xml:space="preserve">s pays classés par la Banque mondiale, </w:t>
      </w:r>
      <w:r w:rsidRPr="00214370">
        <w:rPr>
          <w:lang w:val="fr-FR"/>
        </w:rPr>
        <w:footnoteReference w:id="7"/>
      </w:r>
      <w:r w:rsidRPr="00E3261B">
        <w:rPr>
          <w:lang w:val="fr-FR"/>
        </w:rPr>
        <w:t xml:space="preserve">comme pays à revenu élevé et à revenu intermédiaire </w:t>
      </w:r>
      <w:r>
        <w:rPr>
          <w:lang w:val="fr-FR"/>
        </w:rPr>
        <w:t xml:space="preserve">tranche supérieure, en particulier, devront contribuer à l’avenir, la moitié du montant du plancher, ou  250 </w:t>
      </w:r>
      <w:r w:rsidRPr="00E3261B">
        <w:rPr>
          <w:lang w:val="fr-FR"/>
        </w:rPr>
        <w:t>000</w:t>
      </w:r>
      <w:r>
        <w:rPr>
          <w:lang w:val="fr-FR"/>
        </w:rPr>
        <w:t xml:space="preserve"> $. </w:t>
      </w:r>
      <w:r w:rsidRPr="002C0BC5">
        <w:rPr>
          <w:lang w:val="fr-FR"/>
        </w:rPr>
        <w:t xml:space="preserve">Cependant, pour permettre aux pays à revenu élevé ou intermédiaire </w:t>
      </w:r>
      <w:r>
        <w:rPr>
          <w:lang w:val="fr-FR"/>
        </w:rPr>
        <w:t xml:space="preserve">tranche supérieure, </w:t>
      </w:r>
      <w:r w:rsidRPr="002C0BC5">
        <w:rPr>
          <w:lang w:val="fr-FR"/>
        </w:rPr>
        <w:t xml:space="preserve">d’inscrire convenablement ces montants à leur budget, cette exigence sera </w:t>
      </w:r>
      <w:r>
        <w:rPr>
          <w:lang w:val="fr-FR"/>
        </w:rPr>
        <w:t xml:space="preserve">mise en place progressivement, selon le calendrier établi au Tableau 7. </w:t>
      </w:r>
    </w:p>
    <w:p w:rsidR="001D71AD" w:rsidRPr="002C0BC5" w:rsidRDefault="001D71AD" w:rsidP="005343C4">
      <w:pPr>
        <w:ind w:left="1080" w:right="720"/>
        <w:jc w:val="both"/>
        <w:rPr>
          <w:lang w:val="fr-FR"/>
        </w:rPr>
      </w:pPr>
    </w:p>
    <w:p w:rsidR="001D71AD" w:rsidRPr="001669ED" w:rsidRDefault="001D71AD" w:rsidP="005343C4">
      <w:pPr>
        <w:ind w:left="1080" w:right="720"/>
        <w:jc w:val="both"/>
        <w:rPr>
          <w:lang w:val="fr-FR"/>
        </w:rPr>
      </w:pPr>
      <w:r w:rsidRPr="001669ED">
        <w:rPr>
          <w:b/>
          <w:lang w:val="fr-FR"/>
        </w:rPr>
        <w:t xml:space="preserve">Tableau 7: Contributions au plancher par source et par année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320"/>
        <w:gridCol w:w="1320"/>
        <w:gridCol w:w="1320"/>
      </w:tblGrid>
      <w:tr w:rsidR="001D71AD" w:rsidRPr="0019595C" w:rsidTr="00DF6B08">
        <w:tc>
          <w:tcPr>
            <w:tcW w:w="3420" w:type="dxa"/>
          </w:tcPr>
          <w:p w:rsidR="001D71AD" w:rsidRPr="0019595C" w:rsidRDefault="001D71AD" w:rsidP="00DF6B08">
            <w:pPr>
              <w:jc w:val="both"/>
              <w:rPr>
                <w:b/>
                <w:sz w:val="18"/>
                <w:szCs w:val="24"/>
                <w:lang w:val="en-US"/>
              </w:rPr>
            </w:pPr>
            <w:r w:rsidRPr="0019595C">
              <w:rPr>
                <w:b/>
                <w:sz w:val="18"/>
                <w:szCs w:val="24"/>
                <w:lang w:val="en-US"/>
              </w:rPr>
              <w:t>Source</w:t>
            </w:r>
          </w:p>
        </w:tc>
        <w:tc>
          <w:tcPr>
            <w:tcW w:w="1320" w:type="dxa"/>
          </w:tcPr>
          <w:p w:rsidR="001D71AD" w:rsidRPr="0019595C" w:rsidRDefault="001D71AD" w:rsidP="00DF6B08">
            <w:pPr>
              <w:jc w:val="both"/>
              <w:rPr>
                <w:b/>
                <w:sz w:val="18"/>
                <w:szCs w:val="24"/>
                <w:lang w:val="en-US"/>
              </w:rPr>
            </w:pPr>
            <w:r w:rsidRPr="0019595C">
              <w:rPr>
                <w:b/>
                <w:sz w:val="18"/>
                <w:szCs w:val="24"/>
                <w:lang w:val="en-US"/>
              </w:rPr>
              <w:t>2014</w:t>
            </w:r>
          </w:p>
        </w:tc>
        <w:tc>
          <w:tcPr>
            <w:tcW w:w="1320" w:type="dxa"/>
          </w:tcPr>
          <w:p w:rsidR="001D71AD" w:rsidRPr="0019595C" w:rsidRDefault="001D71AD" w:rsidP="00DF6B08">
            <w:pPr>
              <w:jc w:val="both"/>
              <w:rPr>
                <w:b/>
                <w:sz w:val="18"/>
                <w:szCs w:val="24"/>
                <w:lang w:val="en-US"/>
              </w:rPr>
            </w:pPr>
            <w:r w:rsidRPr="0019595C">
              <w:rPr>
                <w:b/>
                <w:sz w:val="18"/>
                <w:szCs w:val="24"/>
                <w:lang w:val="en-US"/>
              </w:rPr>
              <w:t>2015</w:t>
            </w:r>
          </w:p>
        </w:tc>
        <w:tc>
          <w:tcPr>
            <w:tcW w:w="1320" w:type="dxa"/>
          </w:tcPr>
          <w:p w:rsidR="001D71AD" w:rsidRPr="0019595C" w:rsidRDefault="001D71AD" w:rsidP="002C0BC5">
            <w:pPr>
              <w:jc w:val="both"/>
              <w:rPr>
                <w:b/>
                <w:sz w:val="18"/>
                <w:szCs w:val="24"/>
                <w:lang w:val="en-US"/>
              </w:rPr>
            </w:pPr>
            <w:r w:rsidRPr="0019595C">
              <w:rPr>
                <w:b/>
                <w:sz w:val="18"/>
                <w:szCs w:val="24"/>
                <w:lang w:val="en-US"/>
              </w:rPr>
              <w:t xml:space="preserve">2016 </w:t>
            </w:r>
            <w:r>
              <w:rPr>
                <w:b/>
                <w:sz w:val="18"/>
                <w:szCs w:val="24"/>
                <w:lang w:val="en-US"/>
              </w:rPr>
              <w:t>et</w:t>
            </w:r>
            <w:r w:rsidRPr="0019595C">
              <w:rPr>
                <w:b/>
                <w:sz w:val="18"/>
                <w:szCs w:val="24"/>
                <w:lang w:val="en-US"/>
              </w:rPr>
              <w:t xml:space="preserve"> 2017</w:t>
            </w:r>
          </w:p>
        </w:tc>
      </w:tr>
      <w:tr w:rsidR="001D71AD" w:rsidRPr="0019595C" w:rsidTr="00DF6B08">
        <w:tc>
          <w:tcPr>
            <w:tcW w:w="3420" w:type="dxa"/>
          </w:tcPr>
          <w:p w:rsidR="001D71AD" w:rsidRPr="002C0BC5" w:rsidRDefault="001D71AD" w:rsidP="002C0BC5">
            <w:pPr>
              <w:jc w:val="both"/>
              <w:rPr>
                <w:sz w:val="18"/>
                <w:szCs w:val="24"/>
                <w:lang w:val="fr-FR"/>
              </w:rPr>
            </w:pPr>
            <w:r w:rsidRPr="002C0BC5">
              <w:rPr>
                <w:sz w:val="18"/>
                <w:szCs w:val="24"/>
                <w:lang w:val="fr-FR"/>
              </w:rPr>
              <w:t>Contribution de l’UNFPA au plancher</w:t>
            </w:r>
          </w:p>
        </w:tc>
        <w:tc>
          <w:tcPr>
            <w:tcW w:w="1320" w:type="dxa"/>
          </w:tcPr>
          <w:p w:rsidR="001D71AD" w:rsidRPr="0019595C" w:rsidRDefault="001D71AD" w:rsidP="00DF6B08">
            <w:pPr>
              <w:jc w:val="both"/>
              <w:rPr>
                <w:sz w:val="18"/>
                <w:szCs w:val="24"/>
                <w:lang w:val="en-US"/>
              </w:rPr>
            </w:pPr>
            <w:r>
              <w:rPr>
                <w:sz w:val="18"/>
                <w:szCs w:val="24"/>
                <w:lang w:val="en-US"/>
              </w:rPr>
              <w:t xml:space="preserve">$500 </w:t>
            </w:r>
            <w:r w:rsidRPr="0019595C">
              <w:rPr>
                <w:sz w:val="18"/>
                <w:szCs w:val="24"/>
                <w:lang w:val="en-US"/>
              </w:rPr>
              <w:t>000</w:t>
            </w:r>
          </w:p>
        </w:tc>
        <w:tc>
          <w:tcPr>
            <w:tcW w:w="1320" w:type="dxa"/>
          </w:tcPr>
          <w:p w:rsidR="001D71AD" w:rsidRPr="0019595C" w:rsidRDefault="001D71AD" w:rsidP="00DF6B08">
            <w:pPr>
              <w:jc w:val="both"/>
              <w:rPr>
                <w:sz w:val="18"/>
                <w:szCs w:val="24"/>
                <w:lang w:val="en-US"/>
              </w:rPr>
            </w:pPr>
            <w:r>
              <w:rPr>
                <w:sz w:val="18"/>
                <w:szCs w:val="24"/>
                <w:lang w:val="en-US"/>
              </w:rPr>
              <w:t xml:space="preserve">$400 </w:t>
            </w:r>
            <w:r w:rsidRPr="0019595C">
              <w:rPr>
                <w:sz w:val="18"/>
                <w:szCs w:val="24"/>
                <w:lang w:val="en-US"/>
              </w:rPr>
              <w:t>000</w:t>
            </w:r>
          </w:p>
        </w:tc>
        <w:tc>
          <w:tcPr>
            <w:tcW w:w="1320" w:type="dxa"/>
          </w:tcPr>
          <w:p w:rsidR="001D71AD" w:rsidRPr="0019595C" w:rsidRDefault="001D71AD" w:rsidP="00DF6B08">
            <w:pPr>
              <w:jc w:val="both"/>
              <w:rPr>
                <w:sz w:val="18"/>
                <w:szCs w:val="24"/>
                <w:lang w:val="en-US"/>
              </w:rPr>
            </w:pPr>
            <w:r>
              <w:rPr>
                <w:sz w:val="18"/>
                <w:szCs w:val="24"/>
                <w:lang w:val="en-US"/>
              </w:rPr>
              <w:t xml:space="preserve">$250 </w:t>
            </w:r>
            <w:r w:rsidRPr="0019595C">
              <w:rPr>
                <w:sz w:val="18"/>
                <w:szCs w:val="24"/>
                <w:lang w:val="en-US"/>
              </w:rPr>
              <w:t>000</w:t>
            </w:r>
          </w:p>
        </w:tc>
      </w:tr>
      <w:tr w:rsidR="001D71AD" w:rsidRPr="0019595C" w:rsidTr="00DF6B08">
        <w:tc>
          <w:tcPr>
            <w:tcW w:w="3420" w:type="dxa"/>
          </w:tcPr>
          <w:p w:rsidR="001D71AD" w:rsidRPr="001669ED" w:rsidRDefault="001D71AD" w:rsidP="002C0BC5">
            <w:pPr>
              <w:jc w:val="both"/>
              <w:rPr>
                <w:sz w:val="18"/>
                <w:szCs w:val="24"/>
                <w:lang w:val="fr-FR"/>
              </w:rPr>
            </w:pPr>
            <w:r w:rsidRPr="001669ED">
              <w:rPr>
                <w:sz w:val="18"/>
                <w:szCs w:val="24"/>
                <w:lang w:val="fr-FR"/>
              </w:rPr>
              <w:t xml:space="preserve">Contribution domestique des pays à revenu élevé et intermédiaire </w:t>
            </w:r>
            <w:r>
              <w:rPr>
                <w:sz w:val="18"/>
                <w:szCs w:val="24"/>
                <w:lang w:val="fr-FR"/>
              </w:rPr>
              <w:t xml:space="preserve">tranche supérieure </w:t>
            </w:r>
            <w:r w:rsidRPr="001669ED">
              <w:rPr>
                <w:sz w:val="18"/>
                <w:szCs w:val="24"/>
                <w:lang w:val="fr-FR"/>
              </w:rPr>
              <w:t xml:space="preserve">au plancher </w:t>
            </w:r>
          </w:p>
        </w:tc>
        <w:tc>
          <w:tcPr>
            <w:tcW w:w="1320" w:type="dxa"/>
          </w:tcPr>
          <w:p w:rsidR="001D71AD" w:rsidRPr="0019595C" w:rsidRDefault="001D71AD" w:rsidP="00DF6B08">
            <w:pPr>
              <w:jc w:val="both"/>
              <w:rPr>
                <w:sz w:val="18"/>
                <w:szCs w:val="24"/>
                <w:lang w:val="en-US"/>
              </w:rPr>
            </w:pPr>
            <w:r w:rsidRPr="0019595C">
              <w:rPr>
                <w:sz w:val="18"/>
                <w:szCs w:val="24"/>
                <w:lang w:val="en-US"/>
              </w:rPr>
              <w:t>$0</w:t>
            </w:r>
          </w:p>
        </w:tc>
        <w:tc>
          <w:tcPr>
            <w:tcW w:w="1320" w:type="dxa"/>
          </w:tcPr>
          <w:p w:rsidR="001D71AD" w:rsidRPr="0019595C" w:rsidRDefault="001D71AD" w:rsidP="00DF6B08">
            <w:pPr>
              <w:jc w:val="both"/>
              <w:rPr>
                <w:sz w:val="18"/>
                <w:szCs w:val="24"/>
                <w:lang w:val="en-US"/>
              </w:rPr>
            </w:pPr>
            <w:r>
              <w:rPr>
                <w:sz w:val="18"/>
                <w:szCs w:val="24"/>
                <w:lang w:val="en-US"/>
              </w:rPr>
              <w:t xml:space="preserve">$100 </w:t>
            </w:r>
            <w:r w:rsidRPr="0019595C">
              <w:rPr>
                <w:sz w:val="18"/>
                <w:szCs w:val="24"/>
                <w:lang w:val="en-US"/>
              </w:rPr>
              <w:t>000</w:t>
            </w:r>
          </w:p>
        </w:tc>
        <w:tc>
          <w:tcPr>
            <w:tcW w:w="1320" w:type="dxa"/>
          </w:tcPr>
          <w:p w:rsidR="001D71AD" w:rsidRPr="0019595C" w:rsidRDefault="001D71AD" w:rsidP="00DF6B08">
            <w:pPr>
              <w:jc w:val="both"/>
              <w:rPr>
                <w:sz w:val="18"/>
                <w:szCs w:val="24"/>
                <w:lang w:val="en-US"/>
              </w:rPr>
            </w:pPr>
            <w:r>
              <w:rPr>
                <w:sz w:val="18"/>
                <w:szCs w:val="24"/>
                <w:lang w:val="en-US"/>
              </w:rPr>
              <w:t xml:space="preserve">$250 </w:t>
            </w:r>
            <w:r w:rsidRPr="0019595C">
              <w:rPr>
                <w:sz w:val="18"/>
                <w:szCs w:val="24"/>
                <w:lang w:val="en-US"/>
              </w:rPr>
              <w:t>000</w:t>
            </w:r>
          </w:p>
        </w:tc>
      </w:tr>
    </w:tbl>
    <w:p w:rsidR="001D71AD" w:rsidRPr="00445095" w:rsidRDefault="001D71AD" w:rsidP="0019595C">
      <w:pPr>
        <w:ind w:left="1080" w:right="720"/>
        <w:jc w:val="both"/>
        <w:rPr>
          <w:lang w:val="en-US"/>
        </w:rPr>
      </w:pPr>
    </w:p>
    <w:p w:rsidR="001D71AD" w:rsidRPr="002D7115" w:rsidRDefault="001D71AD" w:rsidP="00BB13A1">
      <w:pPr>
        <w:numPr>
          <w:ilvl w:val="0"/>
          <w:numId w:val="4"/>
        </w:numPr>
        <w:ind w:left="1080" w:right="720" w:firstLine="0"/>
        <w:jc w:val="both"/>
        <w:rPr>
          <w:lang w:val="fr-FR"/>
        </w:rPr>
      </w:pPr>
      <w:r w:rsidRPr="002D7115">
        <w:rPr>
          <w:lang w:val="fr-FR"/>
        </w:rPr>
        <w:t xml:space="preserve">La Banque mondiale modifie chaque année le classement des pays. </w:t>
      </w:r>
      <w:r w:rsidRPr="002811A8">
        <w:rPr>
          <w:lang w:val="fr-FR"/>
        </w:rPr>
        <w:t>Nous utiliserons cependant les classem</w:t>
      </w:r>
      <w:r>
        <w:rPr>
          <w:lang w:val="fr-FR"/>
        </w:rPr>
        <w:t>e</w:t>
      </w:r>
      <w:r w:rsidRPr="002811A8">
        <w:rPr>
          <w:lang w:val="fr-FR"/>
        </w:rPr>
        <w:t>nts de 2013 aux fins de calculer les contributions attendues pour la totalit</w:t>
      </w:r>
      <w:r>
        <w:rPr>
          <w:lang w:val="fr-FR"/>
        </w:rPr>
        <w:t xml:space="preserve">é de la période du plan stratégique. </w:t>
      </w:r>
    </w:p>
    <w:p w:rsidR="001D71AD" w:rsidRPr="002D7115" w:rsidRDefault="001D71AD" w:rsidP="00913778">
      <w:pPr>
        <w:ind w:left="1080" w:right="720"/>
        <w:jc w:val="both"/>
        <w:rPr>
          <w:lang w:val="fr-FR"/>
        </w:rPr>
      </w:pPr>
    </w:p>
    <w:p w:rsidR="001D71AD" w:rsidRPr="00D94445" w:rsidRDefault="001D71AD" w:rsidP="00BB13A1">
      <w:pPr>
        <w:numPr>
          <w:ilvl w:val="0"/>
          <w:numId w:val="4"/>
        </w:numPr>
        <w:ind w:left="1080" w:right="720" w:firstLine="0"/>
        <w:jc w:val="both"/>
        <w:rPr>
          <w:lang w:val="fr-FR"/>
        </w:rPr>
      </w:pPr>
      <w:r w:rsidRPr="002811A8">
        <w:rPr>
          <w:lang w:val="fr-FR"/>
        </w:rPr>
        <w:t xml:space="preserve">Une fois les ressources destinées au plancher retirées du total disponible pour les programmes du pays, les attributions individuelles indicatives pour les pays peuvent être calculées en se fondant sur une </w:t>
      </w:r>
      <w:r>
        <w:rPr>
          <w:lang w:val="fr-FR"/>
        </w:rPr>
        <w:t>é</w:t>
      </w:r>
      <w:r w:rsidRPr="002811A8">
        <w:rPr>
          <w:lang w:val="fr-FR"/>
        </w:rPr>
        <w:t>valuation initiale de l’étendue de la programmation que l’UNFPA réalisera vraisemblablement dans un context</w:t>
      </w:r>
      <w:r>
        <w:rPr>
          <w:lang w:val="fr-FR"/>
        </w:rPr>
        <w:t>e</w:t>
      </w:r>
      <w:r w:rsidRPr="002811A8">
        <w:rPr>
          <w:lang w:val="fr-FR"/>
        </w:rPr>
        <w:t xml:space="preserve"> donné.</w:t>
      </w:r>
      <w:r w:rsidRPr="00D94445">
        <w:rPr>
          <w:lang w:val="fr-FR"/>
        </w:rPr>
        <w:t xml:space="preserve">Cela dépend avant tout du mode d’intervention dans un pays donné : comme cela a été expliqué ci-dessus, un pays dans lequel l’UNFPA procure un ensemble complet de services, du plaidoyer et du  dialogue de politiqueà la </w:t>
      </w:r>
      <w:r>
        <w:rPr>
          <w:lang w:val="fr-FR"/>
        </w:rPr>
        <w:t>prestation</w:t>
      </w:r>
      <w:r w:rsidRPr="00D94445">
        <w:rPr>
          <w:lang w:val="fr-FR"/>
        </w:rPr>
        <w:t xml:space="preserve"> de services, n</w:t>
      </w:r>
      <w:r>
        <w:rPr>
          <w:lang w:val="fr-FR"/>
        </w:rPr>
        <w:t>écessitera en moyenne, plus de ressources qu’un pays dans lequel l’organisation ne prendra en charge que le plaidoyer et le dialogue de politique/conseil.</w:t>
      </w:r>
    </w:p>
    <w:p w:rsidR="001D71AD" w:rsidRPr="00D94445" w:rsidRDefault="001D71AD" w:rsidP="00913778">
      <w:pPr>
        <w:ind w:left="1080" w:right="720"/>
        <w:jc w:val="both"/>
        <w:rPr>
          <w:lang w:val="fr-FR"/>
        </w:rPr>
      </w:pPr>
    </w:p>
    <w:p w:rsidR="001D71AD" w:rsidRPr="00492645" w:rsidRDefault="001D71AD" w:rsidP="00BB13A1">
      <w:pPr>
        <w:numPr>
          <w:ilvl w:val="0"/>
          <w:numId w:val="4"/>
        </w:numPr>
        <w:ind w:left="1080" w:right="720" w:firstLine="0"/>
        <w:jc w:val="both"/>
        <w:rPr>
          <w:lang w:val="fr-FR"/>
        </w:rPr>
      </w:pPr>
      <w:r w:rsidRPr="006B17C5">
        <w:rPr>
          <w:lang w:val="fr-FR"/>
        </w:rPr>
        <w:t>Le score de besoin de l’étape précédente est</w:t>
      </w:r>
      <w:r>
        <w:rPr>
          <w:lang w:val="fr-FR"/>
        </w:rPr>
        <w:t xml:space="preserve"> donc</w:t>
      </w:r>
      <w:r w:rsidRPr="006B17C5">
        <w:rPr>
          <w:lang w:val="fr-FR"/>
        </w:rPr>
        <w:t xml:space="preserve"> le point de d</w:t>
      </w:r>
      <w:r>
        <w:rPr>
          <w:lang w:val="fr-FR"/>
        </w:rPr>
        <w:t>é</w:t>
      </w:r>
      <w:r w:rsidRPr="006B17C5">
        <w:rPr>
          <w:lang w:val="fr-FR"/>
        </w:rPr>
        <w:t>part du calcul.Ce total doit cependant être ajusté pour deux facteurs qui influencent l’ampleur de la programmation que l’UNFPA doit effectuer</w:t>
      </w:r>
      <w:r>
        <w:rPr>
          <w:lang w:val="fr-FR"/>
        </w:rPr>
        <w:t xml:space="preserve"> : la taille de la population d’un pays et la capacité d’un pays de financer sa propre programmation. </w:t>
      </w:r>
      <w:r w:rsidRPr="00241E07">
        <w:rPr>
          <w:lang w:val="fr-FR"/>
        </w:rPr>
        <w:t>L’indicateur utilisé pour la taille de la population est la population f</w:t>
      </w:r>
      <w:r>
        <w:rPr>
          <w:lang w:val="fr-FR"/>
        </w:rPr>
        <w:t xml:space="preserve">éminine totale âgée de 10 à 24 ans. Bien que cela ne constitue pas le seul public visé par la programmation de l’UNFPA, l’organisation met particulièrement l’accent sur ce groupe et il est donc approprié de l’utiliser comme mesure de la population. </w:t>
      </w:r>
      <w:r w:rsidRPr="00492645">
        <w:rPr>
          <w:lang w:val="fr-FR"/>
        </w:rPr>
        <w:t xml:space="preserve">Quant à la capacité de financement, le revenu national brut par tête (rapporté par la Banque mondiale, en utilisant la </w:t>
      </w:r>
      <w:r>
        <w:rPr>
          <w:lang w:val="fr-FR"/>
        </w:rPr>
        <w:t>mé</w:t>
      </w:r>
      <w:r w:rsidRPr="00492645">
        <w:rPr>
          <w:lang w:val="fr-FR"/>
        </w:rPr>
        <w:t>thod</w:t>
      </w:r>
      <w:r>
        <w:rPr>
          <w:lang w:val="fr-FR"/>
        </w:rPr>
        <w:t>e</w:t>
      </w:r>
      <w:r w:rsidRPr="00492645">
        <w:rPr>
          <w:lang w:val="fr-FR"/>
        </w:rPr>
        <w:t xml:space="preserve"> Atlas) est utilisé en prenant une moyenne des trois ann</w:t>
      </w:r>
      <w:r>
        <w:rPr>
          <w:lang w:val="fr-FR"/>
        </w:rPr>
        <w:t xml:space="preserve">ées précédentes pour éviter de fausser les résultats par des variations soudaines de revenus. </w:t>
      </w:r>
    </w:p>
    <w:p w:rsidR="001D71AD" w:rsidRPr="00492645" w:rsidRDefault="001D71AD" w:rsidP="00913778">
      <w:pPr>
        <w:ind w:left="1080" w:right="720"/>
        <w:jc w:val="both"/>
        <w:rPr>
          <w:lang w:val="fr-FR"/>
        </w:rPr>
      </w:pPr>
    </w:p>
    <w:p w:rsidR="001D71AD" w:rsidRPr="001669ED" w:rsidRDefault="001D71AD" w:rsidP="00BB13A1">
      <w:pPr>
        <w:numPr>
          <w:ilvl w:val="0"/>
          <w:numId w:val="4"/>
        </w:numPr>
        <w:ind w:left="1080" w:right="720" w:firstLine="0"/>
        <w:jc w:val="both"/>
        <w:rPr>
          <w:lang w:val="fr-FR"/>
        </w:rPr>
      </w:pPr>
      <w:r w:rsidRPr="00BE510D">
        <w:rPr>
          <w:lang w:val="fr-FR"/>
        </w:rPr>
        <w:t xml:space="preserve">Une étape supplémentaire est nécessaire pour les deux programmes </w:t>
      </w:r>
      <w:r>
        <w:rPr>
          <w:lang w:val="fr-FR"/>
        </w:rPr>
        <w:t>multi-pays</w:t>
      </w:r>
      <w:r w:rsidRPr="00BE510D">
        <w:rPr>
          <w:lang w:val="fr-FR"/>
        </w:rPr>
        <w:t xml:space="preserve"> insulaires du Pacifique et des Caraïbes pour lesquels les documents de programme de p</w:t>
      </w:r>
      <w:r>
        <w:rPr>
          <w:lang w:val="fr-FR"/>
        </w:rPr>
        <w:t xml:space="preserve">ays existants approuvés par le Conseil </w:t>
      </w:r>
      <w:r w:rsidRPr="00BE510D">
        <w:rPr>
          <w:lang w:val="fr-FR"/>
        </w:rPr>
        <w:t>d’</w:t>
      </w:r>
      <w:r>
        <w:rPr>
          <w:lang w:val="fr-FR"/>
        </w:rPr>
        <w:t xml:space="preserve">administration, le personnel existant et où les contributions autres que celles de base ont été utilisées pour déterminer les attributions indicatives. </w:t>
      </w:r>
    </w:p>
    <w:p w:rsidR="001D71AD" w:rsidRPr="001669ED" w:rsidRDefault="001D71AD" w:rsidP="00913778">
      <w:pPr>
        <w:ind w:left="1080" w:right="720"/>
        <w:jc w:val="both"/>
        <w:rPr>
          <w:lang w:val="fr-FR"/>
        </w:rPr>
      </w:pPr>
    </w:p>
    <w:p w:rsidR="001D71AD" w:rsidRPr="001435B1" w:rsidRDefault="001D71AD" w:rsidP="00BB13A1">
      <w:pPr>
        <w:numPr>
          <w:ilvl w:val="0"/>
          <w:numId w:val="4"/>
        </w:numPr>
        <w:ind w:left="1080" w:right="720" w:firstLine="0"/>
        <w:jc w:val="both"/>
        <w:rPr>
          <w:lang w:val="fr-FR"/>
        </w:rPr>
      </w:pPr>
      <w:r w:rsidRPr="009B7134">
        <w:rPr>
          <w:lang w:val="fr-FR"/>
        </w:rPr>
        <w:t xml:space="preserve">Les calculs qui en résultent produisent des attributions individuelles de pays indicatives. Cependant, pour éviter de désorganiser la programmation, les changements au SAR </w:t>
      </w:r>
      <w:r>
        <w:rPr>
          <w:lang w:val="fr-FR"/>
        </w:rPr>
        <w:t xml:space="preserve">seront mis en place progressivement. </w:t>
      </w:r>
      <w:r w:rsidRPr="001435B1">
        <w:rPr>
          <w:lang w:val="fr-FR"/>
        </w:rPr>
        <w:t xml:space="preserve">La transition débutera en 2015 pour le petit nombre de pays qui auront de nouveaux documents de programme de pays </w:t>
      </w:r>
      <w:r>
        <w:rPr>
          <w:lang w:val="fr-FR"/>
        </w:rPr>
        <w:t>dé</w:t>
      </w:r>
      <w:r w:rsidRPr="001435B1">
        <w:rPr>
          <w:lang w:val="fr-FR"/>
        </w:rPr>
        <w:t xml:space="preserve">butant cette année-là alors que pour la majorité des pays, </w:t>
      </w:r>
      <w:r>
        <w:rPr>
          <w:lang w:val="fr-FR"/>
        </w:rPr>
        <w:t xml:space="preserve">la transition ne se produira qu’en </w:t>
      </w:r>
      <w:r w:rsidRPr="00913778">
        <w:rPr>
          <w:lang w:val="fr-FR"/>
        </w:rPr>
        <w:t xml:space="preserve">2016 pour donner aux pays </w:t>
      </w:r>
      <w:r>
        <w:rPr>
          <w:lang w:val="fr-FR"/>
        </w:rPr>
        <w:t xml:space="preserve">le </w:t>
      </w:r>
      <w:r w:rsidRPr="00913778">
        <w:rPr>
          <w:lang w:val="fr-FR"/>
        </w:rPr>
        <w:t xml:space="preserve">temps </w:t>
      </w:r>
      <w:r>
        <w:rPr>
          <w:lang w:val="fr-FR"/>
        </w:rPr>
        <w:t>de</w:t>
      </w:r>
      <w:r w:rsidRPr="00913778">
        <w:rPr>
          <w:lang w:val="fr-FR"/>
        </w:rPr>
        <w:t xml:space="preserve"> s’adapter. </w:t>
      </w:r>
    </w:p>
    <w:p w:rsidR="001D71AD" w:rsidRPr="001435B1" w:rsidRDefault="001D71AD" w:rsidP="00913778">
      <w:pPr>
        <w:ind w:left="1080" w:right="720"/>
        <w:jc w:val="both"/>
        <w:rPr>
          <w:lang w:val="fr-FR"/>
        </w:rPr>
      </w:pPr>
    </w:p>
    <w:p w:rsidR="001D71AD" w:rsidRPr="00445095" w:rsidRDefault="001D71AD" w:rsidP="00F3785A">
      <w:pPr>
        <w:pStyle w:val="Heading3"/>
        <w:numPr>
          <w:ilvl w:val="0"/>
          <w:numId w:val="9"/>
        </w:numPr>
        <w:ind w:hanging="2610"/>
      </w:pPr>
      <w:r w:rsidRPr="00445095">
        <w:lastRenderedPageBreak/>
        <w:t>Group</w:t>
      </w:r>
      <w:r w:rsidRPr="00281A6D">
        <w:rPr>
          <w:lang w:val="fr-FR"/>
        </w:rPr>
        <w:t>er les pays dans des catégories cohérentes</w:t>
      </w:r>
    </w:p>
    <w:p w:rsidR="001D71AD" w:rsidRPr="001435B1" w:rsidRDefault="001D71AD" w:rsidP="00A5345D">
      <w:pPr>
        <w:ind w:left="1080" w:right="720"/>
        <w:jc w:val="both"/>
        <w:rPr>
          <w:lang w:val="fr-FR"/>
        </w:rPr>
      </w:pPr>
    </w:p>
    <w:p w:rsidR="001D71AD" w:rsidRPr="00553F3D" w:rsidRDefault="001D71AD" w:rsidP="00BB13A1">
      <w:pPr>
        <w:numPr>
          <w:ilvl w:val="0"/>
          <w:numId w:val="4"/>
        </w:numPr>
        <w:ind w:left="1080" w:right="720" w:firstLine="0"/>
        <w:jc w:val="both"/>
        <w:rPr>
          <w:lang w:val="fr-FR"/>
        </w:rPr>
      </w:pPr>
      <w:r w:rsidRPr="001435B1">
        <w:rPr>
          <w:lang w:val="fr-FR"/>
        </w:rPr>
        <w:t xml:space="preserve">L’étape suivante </w:t>
      </w:r>
      <w:r>
        <w:rPr>
          <w:lang w:val="fr-FR"/>
        </w:rPr>
        <w:t xml:space="preserve">consiste à </w:t>
      </w:r>
      <w:r w:rsidRPr="001435B1">
        <w:rPr>
          <w:lang w:val="fr-FR"/>
        </w:rPr>
        <w:t xml:space="preserve">grouper les pays en </w:t>
      </w:r>
      <w:r>
        <w:rPr>
          <w:lang w:val="fr-FR"/>
        </w:rPr>
        <w:t>caté</w:t>
      </w:r>
      <w:r w:rsidRPr="001435B1">
        <w:rPr>
          <w:lang w:val="fr-FR"/>
        </w:rPr>
        <w:t>gories cohérentes.</w:t>
      </w:r>
      <w:r>
        <w:rPr>
          <w:lang w:val="fr-FR"/>
        </w:rPr>
        <w:t xml:space="preserve">Dans le SAR actuel, les pays sont groupés en catégories A, B et C. Cependant dans le nouveau SAR, les groupements seront liés au nouveau modèle de gestion dans lequel les pays sont divisés en quadrants de couleurs d’après la combinaison de besoins et la capacité de financer comme cela apparaît dans le tableau 4. </w:t>
      </w:r>
      <w:r w:rsidRPr="00234797">
        <w:rPr>
          <w:lang w:val="fr-FR"/>
        </w:rPr>
        <w:t xml:space="preserve">La détermination du nombre de pays à ranger dans chaque catégorie </w:t>
      </w:r>
      <w:r>
        <w:rPr>
          <w:lang w:val="fr-FR"/>
        </w:rPr>
        <w:t>ne nécessite rien d’autre que</w:t>
      </w:r>
      <w:r w:rsidRPr="00234797">
        <w:rPr>
          <w:lang w:val="fr-FR"/>
        </w:rPr>
        <w:t xml:space="preserve"> de combiner la classification finale de besoin</w:t>
      </w:r>
      <w:r>
        <w:rPr>
          <w:lang w:val="fr-FR"/>
        </w:rPr>
        <w:t>s</w:t>
      </w:r>
      <w:r w:rsidRPr="00234797">
        <w:rPr>
          <w:lang w:val="fr-FR"/>
        </w:rPr>
        <w:t xml:space="preserve"> de l</w:t>
      </w:r>
      <w:r>
        <w:rPr>
          <w:lang w:val="fr-FR"/>
        </w:rPr>
        <w:t>’étape 2 ci-dessus avec la classification de revenu du pays qui produit les résultats figurant ci-dessous.</w:t>
      </w:r>
      <w:r w:rsidRPr="00553F3D">
        <w:rPr>
          <w:lang w:val="fr-FR"/>
        </w:rPr>
        <w:t>Le tableau comporte aussi une information complémentaire : le pourcentage de population vivant dans les pays o</w:t>
      </w:r>
      <w:r>
        <w:rPr>
          <w:lang w:val="fr-FR"/>
        </w:rPr>
        <w:t xml:space="preserve">ù l’UNFPA intervient. </w:t>
      </w:r>
    </w:p>
    <w:p w:rsidR="001D71AD" w:rsidRPr="00553F3D" w:rsidRDefault="001D71AD" w:rsidP="00A5345D">
      <w:pPr>
        <w:ind w:left="1080" w:right="720"/>
        <w:jc w:val="both"/>
        <w:rPr>
          <w:lang w:val="fr-FR"/>
        </w:rPr>
      </w:pPr>
    </w:p>
    <w:p w:rsidR="001D71AD" w:rsidRPr="00553F3D" w:rsidRDefault="001D71AD" w:rsidP="00A5345D">
      <w:pPr>
        <w:ind w:left="1080" w:right="720"/>
        <w:jc w:val="both"/>
        <w:rPr>
          <w:lang w:val="fr-FR"/>
        </w:rPr>
      </w:pPr>
      <w:r w:rsidRPr="00553F3D">
        <w:rPr>
          <w:b/>
          <w:lang w:val="fr-FR"/>
        </w:rPr>
        <w:t>Tableau8: Nombre de pays dans chaque quadrant</w:t>
      </w:r>
      <w:r w:rsidRPr="007A5110">
        <w:rPr>
          <w:rStyle w:val="FootnoteReference"/>
          <w:b/>
          <w:vertAlign w:val="superscript"/>
          <w:lang w:val="en-US"/>
        </w:rPr>
        <w:footnoteReference w:id="8"/>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6"/>
        <w:gridCol w:w="859"/>
        <w:gridCol w:w="1182"/>
        <w:gridCol w:w="865"/>
        <w:gridCol w:w="1182"/>
        <w:gridCol w:w="865"/>
        <w:gridCol w:w="1182"/>
        <w:gridCol w:w="865"/>
        <w:gridCol w:w="1182"/>
      </w:tblGrid>
      <w:tr w:rsidR="001D71AD" w:rsidRPr="00A5345D" w:rsidTr="00306B43">
        <w:trPr>
          <w:cantSplit/>
        </w:trPr>
        <w:tc>
          <w:tcPr>
            <w:tcW w:w="983" w:type="dxa"/>
          </w:tcPr>
          <w:p w:rsidR="001D71AD" w:rsidRPr="00AE3D84" w:rsidRDefault="001D71AD" w:rsidP="00A5345D">
            <w:pPr>
              <w:jc w:val="both"/>
              <w:rPr>
                <w:b/>
                <w:sz w:val="18"/>
                <w:lang w:val="fr-CA"/>
              </w:rPr>
            </w:pPr>
          </w:p>
        </w:tc>
        <w:tc>
          <w:tcPr>
            <w:tcW w:w="8485" w:type="dxa"/>
            <w:gridSpan w:val="8"/>
          </w:tcPr>
          <w:p w:rsidR="001D71AD" w:rsidRPr="00A5345D" w:rsidRDefault="001D71AD" w:rsidP="00553F3D">
            <w:pPr>
              <w:ind w:left="16" w:right="-10"/>
              <w:jc w:val="both"/>
              <w:rPr>
                <w:b/>
                <w:i/>
                <w:sz w:val="18"/>
                <w:lang w:val="en-US"/>
              </w:rPr>
            </w:pPr>
            <w:r w:rsidRPr="00AE3D84">
              <w:rPr>
                <w:b/>
                <w:i/>
                <w:sz w:val="18"/>
                <w:lang w:val="fr-CA"/>
              </w:rPr>
              <w:t>Besoin</w:t>
            </w:r>
            <w:r>
              <w:rPr>
                <w:b/>
                <w:i/>
                <w:sz w:val="18"/>
                <w:lang w:val="fr-CA"/>
              </w:rPr>
              <w:t>s</w:t>
            </w:r>
          </w:p>
        </w:tc>
      </w:tr>
      <w:tr w:rsidR="001D71AD" w:rsidRPr="001669ED" w:rsidTr="00306B43">
        <w:trPr>
          <w:cantSplit/>
        </w:trPr>
        <w:tc>
          <w:tcPr>
            <w:tcW w:w="983" w:type="dxa"/>
            <w:vMerge w:val="restart"/>
          </w:tcPr>
          <w:p w:rsidR="001D71AD" w:rsidRPr="001669ED" w:rsidRDefault="001D71AD" w:rsidP="00553F3D">
            <w:pPr>
              <w:jc w:val="both"/>
              <w:rPr>
                <w:b/>
                <w:i/>
                <w:sz w:val="18"/>
                <w:lang w:val="fr-CA"/>
              </w:rPr>
            </w:pPr>
            <w:r w:rsidRPr="001669ED">
              <w:rPr>
                <w:b/>
                <w:i/>
                <w:sz w:val="18"/>
                <w:lang w:val="fr-CA"/>
              </w:rPr>
              <w:t xml:space="preserve">Capacité de financer </w:t>
            </w:r>
          </w:p>
        </w:tc>
        <w:tc>
          <w:tcPr>
            <w:tcW w:w="2068" w:type="dxa"/>
            <w:gridSpan w:val="2"/>
          </w:tcPr>
          <w:p w:rsidR="001D71AD" w:rsidRPr="001669ED" w:rsidRDefault="001D71AD" w:rsidP="0017110D">
            <w:pPr>
              <w:ind w:left="16" w:right="-10"/>
              <w:jc w:val="both"/>
              <w:rPr>
                <w:b/>
                <w:sz w:val="18"/>
                <w:lang w:val="fr-CA"/>
              </w:rPr>
            </w:pPr>
            <w:r w:rsidRPr="001669ED">
              <w:rPr>
                <w:b/>
                <w:sz w:val="18"/>
                <w:lang w:val="fr-CA"/>
              </w:rPr>
              <w:t>Très grand</w:t>
            </w:r>
            <w:r>
              <w:rPr>
                <w:b/>
                <w:sz w:val="18"/>
                <w:lang w:val="fr-CA"/>
              </w:rPr>
              <w:t>s</w:t>
            </w:r>
          </w:p>
        </w:tc>
        <w:tc>
          <w:tcPr>
            <w:tcW w:w="2139" w:type="dxa"/>
            <w:gridSpan w:val="2"/>
          </w:tcPr>
          <w:p w:rsidR="001D71AD" w:rsidRPr="001669ED" w:rsidRDefault="001D71AD" w:rsidP="0017110D">
            <w:pPr>
              <w:ind w:left="16" w:right="-10"/>
              <w:jc w:val="both"/>
              <w:rPr>
                <w:b/>
                <w:sz w:val="18"/>
                <w:lang w:val="fr-CA"/>
              </w:rPr>
            </w:pPr>
            <w:r w:rsidRPr="001669ED">
              <w:rPr>
                <w:b/>
                <w:sz w:val="18"/>
                <w:lang w:val="fr-CA"/>
              </w:rPr>
              <w:t>Grand</w:t>
            </w:r>
            <w:r>
              <w:rPr>
                <w:b/>
                <w:sz w:val="18"/>
                <w:lang w:val="fr-CA"/>
              </w:rPr>
              <w:t>s</w:t>
            </w:r>
          </w:p>
        </w:tc>
        <w:tc>
          <w:tcPr>
            <w:tcW w:w="2139" w:type="dxa"/>
            <w:gridSpan w:val="2"/>
          </w:tcPr>
          <w:p w:rsidR="001D71AD" w:rsidRPr="001669ED" w:rsidRDefault="001D71AD" w:rsidP="0017110D">
            <w:pPr>
              <w:ind w:left="16" w:right="-10"/>
              <w:jc w:val="both"/>
              <w:rPr>
                <w:b/>
                <w:sz w:val="18"/>
                <w:lang w:val="fr-CA"/>
              </w:rPr>
            </w:pPr>
            <w:r w:rsidRPr="001669ED">
              <w:rPr>
                <w:b/>
                <w:sz w:val="18"/>
                <w:lang w:val="fr-CA"/>
              </w:rPr>
              <w:t>Moyen</w:t>
            </w:r>
            <w:r>
              <w:rPr>
                <w:b/>
                <w:sz w:val="18"/>
                <w:lang w:val="fr-CA"/>
              </w:rPr>
              <w:t>s</w:t>
            </w:r>
          </w:p>
        </w:tc>
        <w:tc>
          <w:tcPr>
            <w:tcW w:w="2139" w:type="dxa"/>
            <w:gridSpan w:val="2"/>
          </w:tcPr>
          <w:p w:rsidR="001D71AD" w:rsidRPr="001669ED" w:rsidRDefault="001D71AD" w:rsidP="0017110D">
            <w:pPr>
              <w:ind w:left="16" w:right="-10"/>
              <w:jc w:val="both"/>
              <w:rPr>
                <w:b/>
                <w:sz w:val="18"/>
                <w:lang w:val="fr-CA"/>
              </w:rPr>
            </w:pPr>
            <w:r w:rsidRPr="001669ED">
              <w:rPr>
                <w:b/>
                <w:sz w:val="18"/>
                <w:lang w:val="fr-CA"/>
              </w:rPr>
              <w:t>Faible</w:t>
            </w:r>
            <w:r>
              <w:rPr>
                <w:b/>
                <w:sz w:val="18"/>
                <w:lang w:val="fr-CA"/>
              </w:rPr>
              <w:t>s</w:t>
            </w:r>
          </w:p>
        </w:tc>
      </w:tr>
      <w:tr w:rsidR="001D71AD" w:rsidRPr="001669ED" w:rsidTr="00306B43">
        <w:trPr>
          <w:cantSplit/>
        </w:trPr>
        <w:tc>
          <w:tcPr>
            <w:tcW w:w="983" w:type="dxa"/>
            <w:vMerge/>
          </w:tcPr>
          <w:p w:rsidR="001D71AD" w:rsidRPr="001669ED" w:rsidRDefault="001D71AD" w:rsidP="00A5345D">
            <w:pPr>
              <w:jc w:val="both"/>
              <w:rPr>
                <w:b/>
                <w:i/>
                <w:sz w:val="18"/>
                <w:lang w:val="fr-CA"/>
              </w:rPr>
            </w:pPr>
          </w:p>
        </w:tc>
        <w:tc>
          <w:tcPr>
            <w:tcW w:w="932" w:type="dxa"/>
          </w:tcPr>
          <w:p w:rsidR="001D71AD" w:rsidRPr="001669ED" w:rsidRDefault="001D71AD" w:rsidP="0017110D">
            <w:pPr>
              <w:ind w:left="16" w:right="-10"/>
              <w:jc w:val="both"/>
              <w:rPr>
                <w:b/>
                <w:sz w:val="18"/>
                <w:lang w:val="fr-CA"/>
              </w:rPr>
            </w:pPr>
            <w:r w:rsidRPr="001669ED">
              <w:rPr>
                <w:b/>
                <w:sz w:val="18"/>
                <w:lang w:val="fr-CA"/>
              </w:rPr>
              <w:t>Nombre de pays</w:t>
            </w:r>
          </w:p>
        </w:tc>
        <w:tc>
          <w:tcPr>
            <w:tcW w:w="1136" w:type="dxa"/>
          </w:tcPr>
          <w:p w:rsidR="001D71AD" w:rsidRPr="001669ED" w:rsidRDefault="001D71AD" w:rsidP="0017110D">
            <w:pPr>
              <w:ind w:left="16" w:right="-10"/>
              <w:jc w:val="both"/>
              <w:rPr>
                <w:b/>
                <w:sz w:val="18"/>
                <w:lang w:val="fr-CA"/>
              </w:rPr>
            </w:pPr>
            <w:r w:rsidRPr="001669ED">
              <w:rPr>
                <w:b/>
                <w:sz w:val="18"/>
                <w:lang w:val="fr-CA"/>
              </w:rPr>
              <w:t>Pourcentage de population</w:t>
            </w:r>
          </w:p>
        </w:tc>
        <w:tc>
          <w:tcPr>
            <w:tcW w:w="1003" w:type="dxa"/>
          </w:tcPr>
          <w:p w:rsidR="001D71AD" w:rsidRPr="001669ED" w:rsidRDefault="001D71AD" w:rsidP="0017110D">
            <w:pPr>
              <w:ind w:left="16" w:right="-10"/>
              <w:jc w:val="both"/>
              <w:rPr>
                <w:b/>
                <w:sz w:val="18"/>
                <w:lang w:val="fr-CA"/>
              </w:rPr>
            </w:pPr>
            <w:r w:rsidRPr="001669ED">
              <w:rPr>
                <w:b/>
                <w:sz w:val="18"/>
                <w:lang w:val="fr-CA"/>
              </w:rPr>
              <w:t>Nombre de pays</w:t>
            </w:r>
          </w:p>
        </w:tc>
        <w:tc>
          <w:tcPr>
            <w:tcW w:w="1136" w:type="dxa"/>
          </w:tcPr>
          <w:p w:rsidR="001D71AD" w:rsidRPr="001669ED" w:rsidRDefault="001D71AD" w:rsidP="0017110D">
            <w:pPr>
              <w:ind w:left="16" w:right="-10"/>
              <w:jc w:val="both"/>
              <w:rPr>
                <w:b/>
                <w:sz w:val="18"/>
                <w:lang w:val="fr-CA"/>
              </w:rPr>
            </w:pPr>
            <w:r w:rsidRPr="001669ED">
              <w:rPr>
                <w:b/>
                <w:sz w:val="18"/>
                <w:lang w:val="fr-CA"/>
              </w:rPr>
              <w:t>Pourcentage de population</w:t>
            </w:r>
          </w:p>
        </w:tc>
        <w:tc>
          <w:tcPr>
            <w:tcW w:w="1003" w:type="dxa"/>
          </w:tcPr>
          <w:p w:rsidR="001D71AD" w:rsidRPr="001669ED" w:rsidRDefault="001D71AD" w:rsidP="0017110D">
            <w:pPr>
              <w:ind w:left="16" w:right="-10"/>
              <w:jc w:val="both"/>
              <w:rPr>
                <w:b/>
                <w:sz w:val="18"/>
                <w:lang w:val="fr-CA"/>
              </w:rPr>
            </w:pPr>
            <w:r w:rsidRPr="001669ED">
              <w:rPr>
                <w:b/>
                <w:sz w:val="18"/>
                <w:lang w:val="fr-CA"/>
              </w:rPr>
              <w:t>Nombre de pays</w:t>
            </w:r>
          </w:p>
        </w:tc>
        <w:tc>
          <w:tcPr>
            <w:tcW w:w="1136" w:type="dxa"/>
          </w:tcPr>
          <w:p w:rsidR="001D71AD" w:rsidRPr="001669ED" w:rsidRDefault="001D71AD" w:rsidP="0017110D">
            <w:pPr>
              <w:ind w:left="16" w:right="-10"/>
              <w:jc w:val="both"/>
              <w:rPr>
                <w:b/>
                <w:sz w:val="18"/>
                <w:lang w:val="fr-CA"/>
              </w:rPr>
            </w:pPr>
            <w:r w:rsidRPr="001669ED">
              <w:rPr>
                <w:b/>
                <w:sz w:val="18"/>
                <w:lang w:val="fr-CA"/>
              </w:rPr>
              <w:t>Pourcentage de population</w:t>
            </w:r>
          </w:p>
        </w:tc>
        <w:tc>
          <w:tcPr>
            <w:tcW w:w="1003" w:type="dxa"/>
          </w:tcPr>
          <w:p w:rsidR="001D71AD" w:rsidRPr="001669ED" w:rsidRDefault="001D71AD" w:rsidP="00A5345D">
            <w:pPr>
              <w:ind w:left="16" w:right="-10"/>
              <w:jc w:val="both"/>
              <w:rPr>
                <w:b/>
                <w:sz w:val="18"/>
                <w:lang w:val="fr-CA"/>
              </w:rPr>
            </w:pPr>
            <w:r w:rsidRPr="001669ED">
              <w:rPr>
                <w:b/>
                <w:sz w:val="18"/>
                <w:lang w:val="fr-CA"/>
              </w:rPr>
              <w:t>Nombre de pays</w:t>
            </w:r>
          </w:p>
        </w:tc>
        <w:tc>
          <w:tcPr>
            <w:tcW w:w="1136" w:type="dxa"/>
          </w:tcPr>
          <w:p w:rsidR="001D71AD" w:rsidRPr="001669ED" w:rsidRDefault="001D71AD" w:rsidP="00A5345D">
            <w:pPr>
              <w:ind w:left="16" w:right="-10"/>
              <w:jc w:val="both"/>
              <w:rPr>
                <w:b/>
                <w:sz w:val="18"/>
                <w:lang w:val="fr-CA"/>
              </w:rPr>
            </w:pPr>
            <w:r w:rsidRPr="001669ED">
              <w:rPr>
                <w:b/>
                <w:sz w:val="18"/>
                <w:lang w:val="fr-CA"/>
              </w:rPr>
              <w:t>Pourcentage de population</w:t>
            </w:r>
          </w:p>
        </w:tc>
      </w:tr>
      <w:tr w:rsidR="001D71AD" w:rsidRPr="001669ED" w:rsidTr="00306B43">
        <w:trPr>
          <w:cantSplit/>
        </w:trPr>
        <w:tc>
          <w:tcPr>
            <w:tcW w:w="983" w:type="dxa"/>
          </w:tcPr>
          <w:p w:rsidR="001D71AD" w:rsidRPr="001669ED" w:rsidRDefault="001D71AD" w:rsidP="00553F3D">
            <w:pPr>
              <w:jc w:val="both"/>
              <w:rPr>
                <w:b/>
                <w:sz w:val="18"/>
                <w:lang w:val="fr-CA"/>
              </w:rPr>
            </w:pPr>
            <w:r w:rsidRPr="001669ED">
              <w:rPr>
                <w:b/>
                <w:sz w:val="18"/>
                <w:lang w:val="fr-CA"/>
              </w:rPr>
              <w:t>Faible revenu</w:t>
            </w:r>
          </w:p>
        </w:tc>
        <w:tc>
          <w:tcPr>
            <w:tcW w:w="932" w:type="dxa"/>
            <w:shd w:val="clear" w:color="auto" w:fill="FF2929"/>
          </w:tcPr>
          <w:p w:rsidR="001D71AD" w:rsidRPr="001669ED" w:rsidRDefault="001D71AD" w:rsidP="00A5345D">
            <w:pPr>
              <w:ind w:left="16" w:right="-10"/>
              <w:jc w:val="both"/>
              <w:rPr>
                <w:sz w:val="18"/>
                <w:lang w:val="fr-CA"/>
              </w:rPr>
            </w:pPr>
            <w:r w:rsidRPr="001669ED">
              <w:rPr>
                <w:sz w:val="18"/>
                <w:lang w:val="fr-CA"/>
              </w:rPr>
              <w:t>22</w:t>
            </w:r>
          </w:p>
        </w:tc>
        <w:tc>
          <w:tcPr>
            <w:tcW w:w="1136" w:type="dxa"/>
            <w:shd w:val="clear" w:color="auto" w:fill="FF2929"/>
          </w:tcPr>
          <w:p w:rsidR="001D71AD" w:rsidRPr="001669ED" w:rsidRDefault="001D71AD" w:rsidP="00A5345D">
            <w:pPr>
              <w:ind w:left="16" w:right="-10"/>
              <w:jc w:val="both"/>
              <w:rPr>
                <w:sz w:val="18"/>
                <w:lang w:val="fr-CA"/>
              </w:rPr>
            </w:pPr>
            <w:r w:rsidRPr="001669ED">
              <w:rPr>
                <w:sz w:val="18"/>
                <w:lang w:val="fr-CA"/>
              </w:rPr>
              <w:t>7%</w:t>
            </w:r>
          </w:p>
        </w:tc>
        <w:tc>
          <w:tcPr>
            <w:tcW w:w="1003" w:type="dxa"/>
            <w:shd w:val="clear" w:color="auto" w:fill="FF2929"/>
          </w:tcPr>
          <w:p w:rsidR="001D71AD" w:rsidRPr="001669ED" w:rsidRDefault="001D71AD" w:rsidP="00A5345D">
            <w:pPr>
              <w:ind w:left="16" w:right="-10"/>
              <w:jc w:val="both"/>
              <w:rPr>
                <w:sz w:val="18"/>
                <w:lang w:val="fr-CA"/>
              </w:rPr>
            </w:pPr>
            <w:r w:rsidRPr="001669ED">
              <w:rPr>
                <w:sz w:val="18"/>
                <w:lang w:val="fr-CA"/>
              </w:rPr>
              <w:t>10</w:t>
            </w:r>
          </w:p>
        </w:tc>
        <w:tc>
          <w:tcPr>
            <w:tcW w:w="1136" w:type="dxa"/>
            <w:shd w:val="clear" w:color="auto" w:fill="FF2929"/>
          </w:tcPr>
          <w:p w:rsidR="001D71AD" w:rsidRPr="001669ED" w:rsidRDefault="001D71AD" w:rsidP="00A5345D">
            <w:pPr>
              <w:ind w:left="16" w:right="-10"/>
              <w:jc w:val="both"/>
              <w:rPr>
                <w:sz w:val="18"/>
                <w:lang w:val="fr-CA"/>
              </w:rPr>
            </w:pPr>
            <w:r w:rsidRPr="001669ED">
              <w:rPr>
                <w:sz w:val="18"/>
                <w:lang w:val="fr-CA"/>
              </w:rPr>
              <w:t>5%</w:t>
            </w:r>
          </w:p>
        </w:tc>
        <w:tc>
          <w:tcPr>
            <w:tcW w:w="1003" w:type="dxa"/>
            <w:shd w:val="clear" w:color="auto" w:fill="FFC000"/>
          </w:tcPr>
          <w:p w:rsidR="001D71AD" w:rsidRPr="001669ED" w:rsidRDefault="001D71AD" w:rsidP="00A5345D">
            <w:pPr>
              <w:ind w:left="16" w:right="-10"/>
              <w:jc w:val="both"/>
              <w:rPr>
                <w:sz w:val="18"/>
                <w:lang w:val="fr-CA"/>
              </w:rPr>
            </w:pPr>
            <w:r w:rsidRPr="001669ED">
              <w:rPr>
                <w:sz w:val="18"/>
                <w:lang w:val="fr-CA"/>
              </w:rPr>
              <w:t>4</w:t>
            </w:r>
          </w:p>
        </w:tc>
        <w:tc>
          <w:tcPr>
            <w:tcW w:w="1136" w:type="dxa"/>
            <w:shd w:val="clear" w:color="auto" w:fill="FFC000"/>
          </w:tcPr>
          <w:p w:rsidR="001D71AD" w:rsidRPr="001669ED" w:rsidRDefault="001D71AD" w:rsidP="00A5345D">
            <w:pPr>
              <w:ind w:left="16" w:right="-10"/>
              <w:jc w:val="both"/>
              <w:rPr>
                <w:sz w:val="18"/>
                <w:lang w:val="fr-CA"/>
              </w:rPr>
            </w:pPr>
            <w:r w:rsidRPr="001669ED">
              <w:rPr>
                <w:sz w:val="18"/>
                <w:lang w:val="fr-CA"/>
              </w:rPr>
              <w:t>2%</w:t>
            </w:r>
          </w:p>
        </w:tc>
        <w:tc>
          <w:tcPr>
            <w:tcW w:w="1003" w:type="dxa"/>
            <w:shd w:val="clear" w:color="auto" w:fill="FFFF00"/>
          </w:tcPr>
          <w:p w:rsidR="001D71AD" w:rsidRPr="001669ED" w:rsidRDefault="001D71AD" w:rsidP="00A5345D">
            <w:pPr>
              <w:ind w:left="16" w:right="-10"/>
              <w:jc w:val="both"/>
              <w:rPr>
                <w:sz w:val="18"/>
                <w:lang w:val="fr-CA"/>
              </w:rPr>
            </w:pPr>
            <w:r w:rsidRPr="001669ED">
              <w:rPr>
                <w:sz w:val="18"/>
                <w:lang w:val="fr-CA"/>
              </w:rPr>
              <w:t>0</w:t>
            </w:r>
          </w:p>
        </w:tc>
        <w:tc>
          <w:tcPr>
            <w:tcW w:w="1136" w:type="dxa"/>
            <w:shd w:val="clear" w:color="auto" w:fill="FFFF00"/>
          </w:tcPr>
          <w:p w:rsidR="001D71AD" w:rsidRPr="001669ED" w:rsidRDefault="001D71AD" w:rsidP="00A5345D">
            <w:pPr>
              <w:ind w:left="16" w:right="-10"/>
              <w:jc w:val="both"/>
              <w:rPr>
                <w:sz w:val="18"/>
                <w:lang w:val="fr-CA"/>
              </w:rPr>
            </w:pPr>
            <w:r w:rsidRPr="001669ED">
              <w:rPr>
                <w:sz w:val="18"/>
                <w:lang w:val="fr-CA"/>
              </w:rPr>
              <w:t>0%</w:t>
            </w:r>
          </w:p>
        </w:tc>
      </w:tr>
      <w:tr w:rsidR="001D71AD" w:rsidRPr="001669ED" w:rsidTr="00306B43">
        <w:trPr>
          <w:cantSplit/>
        </w:trPr>
        <w:tc>
          <w:tcPr>
            <w:tcW w:w="983" w:type="dxa"/>
          </w:tcPr>
          <w:p w:rsidR="001D71AD" w:rsidRDefault="001D71AD" w:rsidP="00553F3D">
            <w:pPr>
              <w:jc w:val="both"/>
              <w:rPr>
                <w:b/>
                <w:sz w:val="18"/>
                <w:lang w:val="fr-CA"/>
              </w:rPr>
            </w:pPr>
            <w:r w:rsidRPr="001669ED">
              <w:rPr>
                <w:b/>
                <w:sz w:val="18"/>
                <w:lang w:val="fr-CA"/>
              </w:rPr>
              <w:t>Intermédiaire</w:t>
            </w:r>
          </w:p>
          <w:p w:rsidR="001D71AD" w:rsidRPr="001669ED" w:rsidRDefault="001D71AD" w:rsidP="00553F3D">
            <w:pPr>
              <w:jc w:val="both"/>
              <w:rPr>
                <w:b/>
                <w:sz w:val="18"/>
                <w:lang w:val="fr-CA"/>
              </w:rPr>
            </w:pPr>
            <w:r>
              <w:rPr>
                <w:b/>
                <w:sz w:val="18"/>
                <w:lang w:val="fr-CA"/>
              </w:rPr>
              <w:t>Tranche inférieure</w:t>
            </w:r>
          </w:p>
        </w:tc>
        <w:tc>
          <w:tcPr>
            <w:tcW w:w="932" w:type="dxa"/>
            <w:shd w:val="clear" w:color="auto" w:fill="FF2929"/>
          </w:tcPr>
          <w:p w:rsidR="001D71AD" w:rsidRPr="001669ED" w:rsidRDefault="001D71AD" w:rsidP="00A5345D">
            <w:pPr>
              <w:ind w:left="16" w:right="-10"/>
              <w:jc w:val="both"/>
              <w:rPr>
                <w:sz w:val="18"/>
                <w:lang w:val="fr-CA"/>
              </w:rPr>
            </w:pPr>
            <w:r w:rsidRPr="001669ED">
              <w:rPr>
                <w:sz w:val="18"/>
                <w:lang w:val="fr-CA"/>
              </w:rPr>
              <w:t>8</w:t>
            </w:r>
          </w:p>
        </w:tc>
        <w:tc>
          <w:tcPr>
            <w:tcW w:w="1136" w:type="dxa"/>
            <w:shd w:val="clear" w:color="auto" w:fill="FF2929"/>
          </w:tcPr>
          <w:p w:rsidR="001D71AD" w:rsidRPr="001669ED" w:rsidRDefault="001D71AD" w:rsidP="00A5345D">
            <w:pPr>
              <w:ind w:left="16" w:right="-10"/>
              <w:jc w:val="both"/>
              <w:rPr>
                <w:sz w:val="18"/>
                <w:lang w:val="fr-CA"/>
              </w:rPr>
            </w:pPr>
            <w:r w:rsidRPr="001669ED">
              <w:rPr>
                <w:sz w:val="18"/>
                <w:lang w:val="fr-CA"/>
              </w:rPr>
              <w:t>5%</w:t>
            </w:r>
          </w:p>
        </w:tc>
        <w:tc>
          <w:tcPr>
            <w:tcW w:w="1003" w:type="dxa"/>
            <w:shd w:val="clear" w:color="auto" w:fill="FFC000"/>
          </w:tcPr>
          <w:p w:rsidR="001D71AD" w:rsidRPr="001669ED" w:rsidRDefault="001D71AD" w:rsidP="00A5345D">
            <w:pPr>
              <w:ind w:left="16" w:right="-10"/>
              <w:jc w:val="both"/>
              <w:rPr>
                <w:sz w:val="18"/>
                <w:lang w:val="fr-CA"/>
              </w:rPr>
            </w:pPr>
            <w:r w:rsidRPr="001669ED">
              <w:rPr>
                <w:sz w:val="18"/>
                <w:lang w:val="fr-CA"/>
              </w:rPr>
              <w:t>16</w:t>
            </w:r>
          </w:p>
        </w:tc>
        <w:tc>
          <w:tcPr>
            <w:tcW w:w="1136" w:type="dxa"/>
            <w:shd w:val="clear" w:color="auto" w:fill="FFC000"/>
          </w:tcPr>
          <w:p w:rsidR="001D71AD" w:rsidRPr="001669ED" w:rsidRDefault="001D71AD" w:rsidP="00A5345D">
            <w:pPr>
              <w:ind w:left="16" w:right="-10"/>
              <w:jc w:val="both"/>
              <w:rPr>
                <w:sz w:val="18"/>
                <w:lang w:val="fr-CA"/>
              </w:rPr>
            </w:pPr>
            <w:r w:rsidRPr="001669ED">
              <w:rPr>
                <w:sz w:val="18"/>
                <w:lang w:val="fr-CA"/>
              </w:rPr>
              <w:t>28%</w:t>
            </w:r>
          </w:p>
        </w:tc>
        <w:tc>
          <w:tcPr>
            <w:tcW w:w="1003" w:type="dxa"/>
            <w:shd w:val="clear" w:color="auto" w:fill="FFFF00"/>
          </w:tcPr>
          <w:p w:rsidR="001D71AD" w:rsidRPr="001669ED" w:rsidRDefault="001D71AD" w:rsidP="00306B43">
            <w:pPr>
              <w:ind w:left="16" w:right="-10"/>
              <w:jc w:val="both"/>
              <w:rPr>
                <w:sz w:val="18"/>
                <w:lang w:val="fr-CA"/>
              </w:rPr>
            </w:pPr>
            <w:r w:rsidRPr="001669ED">
              <w:rPr>
                <w:sz w:val="18"/>
                <w:lang w:val="fr-CA"/>
              </w:rPr>
              <w:t>16</w:t>
            </w:r>
          </w:p>
        </w:tc>
        <w:tc>
          <w:tcPr>
            <w:tcW w:w="1136" w:type="dxa"/>
            <w:shd w:val="clear" w:color="auto" w:fill="FFFF00"/>
          </w:tcPr>
          <w:p w:rsidR="001D71AD" w:rsidRPr="001669ED" w:rsidRDefault="001D71AD" w:rsidP="00A5345D">
            <w:pPr>
              <w:ind w:left="16" w:right="-10"/>
              <w:jc w:val="both"/>
              <w:rPr>
                <w:sz w:val="18"/>
                <w:lang w:val="fr-CA"/>
              </w:rPr>
            </w:pPr>
            <w:r w:rsidRPr="001669ED">
              <w:rPr>
                <w:sz w:val="18"/>
                <w:lang w:val="fr-CA"/>
              </w:rPr>
              <w:t>8%</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16</w:t>
            </w:r>
          </w:p>
        </w:tc>
        <w:tc>
          <w:tcPr>
            <w:tcW w:w="1136" w:type="dxa"/>
            <w:shd w:val="clear" w:color="auto" w:fill="FF99FF"/>
          </w:tcPr>
          <w:p w:rsidR="001D71AD" w:rsidRPr="001669ED" w:rsidRDefault="001D71AD" w:rsidP="00A5345D">
            <w:pPr>
              <w:ind w:left="16" w:right="-10"/>
              <w:jc w:val="both"/>
              <w:rPr>
                <w:sz w:val="18"/>
                <w:lang w:val="fr-CA"/>
              </w:rPr>
            </w:pPr>
            <w:r w:rsidRPr="001669ED">
              <w:rPr>
                <w:sz w:val="18"/>
                <w:lang w:val="fr-CA"/>
              </w:rPr>
              <w:t>4%</w:t>
            </w:r>
          </w:p>
        </w:tc>
      </w:tr>
      <w:tr w:rsidR="001D71AD" w:rsidRPr="001669ED" w:rsidTr="00306B43">
        <w:trPr>
          <w:cantSplit/>
        </w:trPr>
        <w:tc>
          <w:tcPr>
            <w:tcW w:w="983" w:type="dxa"/>
          </w:tcPr>
          <w:p w:rsidR="001D71AD" w:rsidRPr="001669ED" w:rsidRDefault="001D71AD" w:rsidP="0017110D">
            <w:pPr>
              <w:jc w:val="both"/>
              <w:rPr>
                <w:b/>
                <w:sz w:val="18"/>
                <w:lang w:val="fr-CA"/>
              </w:rPr>
            </w:pPr>
            <w:r w:rsidRPr="001669ED">
              <w:rPr>
                <w:b/>
                <w:sz w:val="18"/>
                <w:lang w:val="fr-CA"/>
              </w:rPr>
              <w:t>Intermédiaire tranche supérieure</w:t>
            </w:r>
          </w:p>
        </w:tc>
        <w:tc>
          <w:tcPr>
            <w:tcW w:w="932" w:type="dxa"/>
            <w:shd w:val="clear" w:color="auto" w:fill="FFC000"/>
          </w:tcPr>
          <w:p w:rsidR="001D71AD" w:rsidRPr="001669ED" w:rsidRDefault="001D71AD" w:rsidP="00A5345D">
            <w:pPr>
              <w:ind w:left="16" w:right="-10"/>
              <w:jc w:val="both"/>
              <w:rPr>
                <w:sz w:val="18"/>
                <w:lang w:val="fr-CA"/>
              </w:rPr>
            </w:pPr>
            <w:r w:rsidRPr="001669ED">
              <w:rPr>
                <w:sz w:val="18"/>
                <w:lang w:val="fr-CA"/>
              </w:rPr>
              <w:t>1</w:t>
            </w:r>
          </w:p>
        </w:tc>
        <w:tc>
          <w:tcPr>
            <w:tcW w:w="1136" w:type="dxa"/>
            <w:shd w:val="clear" w:color="auto" w:fill="FFC000"/>
          </w:tcPr>
          <w:p w:rsidR="001D71AD" w:rsidRPr="001669ED" w:rsidRDefault="001D71AD" w:rsidP="0017110D">
            <w:pPr>
              <w:ind w:left="16" w:right="-10"/>
              <w:jc w:val="both"/>
              <w:rPr>
                <w:sz w:val="18"/>
                <w:lang w:val="fr-CA"/>
              </w:rPr>
            </w:pPr>
            <w:r w:rsidRPr="001669ED">
              <w:rPr>
                <w:sz w:val="18"/>
                <w:lang w:val="fr-CA"/>
              </w:rPr>
              <w:t>0,3%</w:t>
            </w:r>
          </w:p>
        </w:tc>
        <w:tc>
          <w:tcPr>
            <w:tcW w:w="1003" w:type="dxa"/>
            <w:shd w:val="clear" w:color="auto" w:fill="FFFF00"/>
          </w:tcPr>
          <w:p w:rsidR="001D71AD" w:rsidRPr="001669ED" w:rsidRDefault="001D71AD" w:rsidP="00A5345D">
            <w:pPr>
              <w:ind w:left="16" w:right="-10"/>
              <w:jc w:val="both"/>
              <w:rPr>
                <w:sz w:val="18"/>
                <w:lang w:val="fr-CA"/>
              </w:rPr>
            </w:pPr>
            <w:r w:rsidRPr="001669ED">
              <w:rPr>
                <w:sz w:val="18"/>
                <w:lang w:val="fr-CA"/>
              </w:rPr>
              <w:t>4</w:t>
            </w:r>
          </w:p>
        </w:tc>
        <w:tc>
          <w:tcPr>
            <w:tcW w:w="1136" w:type="dxa"/>
            <w:shd w:val="clear" w:color="auto" w:fill="FFFF00"/>
          </w:tcPr>
          <w:p w:rsidR="001D71AD" w:rsidRPr="001669ED" w:rsidRDefault="001D71AD" w:rsidP="00A5345D">
            <w:pPr>
              <w:ind w:left="16" w:right="-10"/>
              <w:jc w:val="both"/>
              <w:rPr>
                <w:sz w:val="18"/>
                <w:lang w:val="fr-CA"/>
              </w:rPr>
            </w:pPr>
            <w:r w:rsidRPr="001669ED">
              <w:rPr>
                <w:sz w:val="18"/>
                <w:lang w:val="fr-CA"/>
              </w:rPr>
              <w:t>1%</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14</w:t>
            </w:r>
          </w:p>
        </w:tc>
        <w:tc>
          <w:tcPr>
            <w:tcW w:w="1136" w:type="dxa"/>
            <w:shd w:val="clear" w:color="auto" w:fill="FF99FF"/>
          </w:tcPr>
          <w:p w:rsidR="001D71AD" w:rsidRPr="001669ED" w:rsidRDefault="001D71AD" w:rsidP="00A5345D">
            <w:pPr>
              <w:ind w:left="16" w:right="-10"/>
              <w:jc w:val="both"/>
              <w:rPr>
                <w:sz w:val="18"/>
                <w:lang w:val="fr-CA"/>
              </w:rPr>
            </w:pPr>
            <w:r w:rsidRPr="001669ED">
              <w:rPr>
                <w:sz w:val="18"/>
                <w:lang w:val="fr-CA"/>
              </w:rPr>
              <w:t>9%</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19</w:t>
            </w:r>
          </w:p>
        </w:tc>
        <w:tc>
          <w:tcPr>
            <w:tcW w:w="1136" w:type="dxa"/>
            <w:shd w:val="clear" w:color="auto" w:fill="FF99FF"/>
          </w:tcPr>
          <w:p w:rsidR="001D71AD" w:rsidRPr="001669ED" w:rsidRDefault="001D71AD" w:rsidP="00A5345D">
            <w:pPr>
              <w:ind w:left="16" w:right="-10"/>
              <w:jc w:val="both"/>
              <w:rPr>
                <w:sz w:val="18"/>
                <w:lang w:val="fr-CA"/>
              </w:rPr>
            </w:pPr>
            <w:r w:rsidRPr="001669ED">
              <w:rPr>
                <w:sz w:val="18"/>
                <w:lang w:val="fr-CA"/>
              </w:rPr>
              <w:t>31%</w:t>
            </w:r>
          </w:p>
        </w:tc>
      </w:tr>
      <w:tr w:rsidR="001D71AD" w:rsidRPr="001669ED" w:rsidTr="00306B43">
        <w:trPr>
          <w:cantSplit/>
        </w:trPr>
        <w:tc>
          <w:tcPr>
            <w:tcW w:w="983" w:type="dxa"/>
          </w:tcPr>
          <w:p w:rsidR="001D71AD" w:rsidRPr="001669ED" w:rsidRDefault="001D71AD" w:rsidP="0017110D">
            <w:pPr>
              <w:jc w:val="both"/>
              <w:rPr>
                <w:b/>
                <w:sz w:val="18"/>
                <w:lang w:val="fr-CA"/>
              </w:rPr>
            </w:pPr>
            <w:r w:rsidRPr="001669ED">
              <w:rPr>
                <w:b/>
                <w:sz w:val="18"/>
                <w:lang w:val="fr-CA"/>
              </w:rPr>
              <w:t>Revenu élevé</w:t>
            </w:r>
          </w:p>
        </w:tc>
        <w:tc>
          <w:tcPr>
            <w:tcW w:w="932" w:type="dxa"/>
            <w:shd w:val="clear" w:color="auto" w:fill="FF99FF"/>
          </w:tcPr>
          <w:p w:rsidR="001D71AD" w:rsidRPr="001669ED" w:rsidRDefault="001D71AD" w:rsidP="00A5345D">
            <w:pPr>
              <w:ind w:left="16" w:right="-10"/>
              <w:jc w:val="both"/>
              <w:rPr>
                <w:sz w:val="18"/>
                <w:lang w:val="fr-CA"/>
              </w:rPr>
            </w:pPr>
            <w:r w:rsidRPr="001669ED">
              <w:rPr>
                <w:sz w:val="18"/>
                <w:lang w:val="fr-CA"/>
              </w:rPr>
              <w:t>0</w:t>
            </w:r>
          </w:p>
        </w:tc>
        <w:tc>
          <w:tcPr>
            <w:tcW w:w="1136" w:type="dxa"/>
            <w:shd w:val="clear" w:color="auto" w:fill="FF99FF"/>
          </w:tcPr>
          <w:p w:rsidR="001D71AD" w:rsidRPr="001669ED" w:rsidRDefault="001D71AD" w:rsidP="00A5345D">
            <w:pPr>
              <w:ind w:left="16" w:right="-10"/>
              <w:jc w:val="both"/>
              <w:rPr>
                <w:sz w:val="18"/>
                <w:lang w:val="fr-CA"/>
              </w:rPr>
            </w:pPr>
            <w:r w:rsidRPr="001669ED">
              <w:rPr>
                <w:sz w:val="18"/>
                <w:lang w:val="fr-CA"/>
              </w:rPr>
              <w:t>0%</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1</w:t>
            </w:r>
          </w:p>
        </w:tc>
        <w:tc>
          <w:tcPr>
            <w:tcW w:w="1136" w:type="dxa"/>
            <w:shd w:val="clear" w:color="auto" w:fill="FF99FF"/>
          </w:tcPr>
          <w:p w:rsidR="001D71AD" w:rsidRPr="001669ED" w:rsidRDefault="001D71AD" w:rsidP="0017110D">
            <w:pPr>
              <w:ind w:left="16" w:right="-10"/>
              <w:jc w:val="both"/>
              <w:rPr>
                <w:sz w:val="18"/>
                <w:lang w:val="fr-CA"/>
              </w:rPr>
            </w:pPr>
            <w:r w:rsidRPr="001669ED">
              <w:rPr>
                <w:sz w:val="18"/>
                <w:lang w:val="fr-CA"/>
              </w:rPr>
              <w:t>0,01%</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0</w:t>
            </w:r>
          </w:p>
        </w:tc>
        <w:tc>
          <w:tcPr>
            <w:tcW w:w="1136" w:type="dxa"/>
            <w:shd w:val="clear" w:color="auto" w:fill="FF99FF"/>
          </w:tcPr>
          <w:p w:rsidR="001D71AD" w:rsidRPr="001669ED" w:rsidRDefault="001D71AD" w:rsidP="00A5345D">
            <w:pPr>
              <w:ind w:left="16" w:right="-10"/>
              <w:jc w:val="both"/>
              <w:rPr>
                <w:sz w:val="18"/>
                <w:lang w:val="fr-CA"/>
              </w:rPr>
            </w:pPr>
            <w:r w:rsidRPr="001669ED">
              <w:rPr>
                <w:sz w:val="18"/>
                <w:lang w:val="fr-CA"/>
              </w:rPr>
              <w:t>0%</w:t>
            </w:r>
          </w:p>
        </w:tc>
        <w:tc>
          <w:tcPr>
            <w:tcW w:w="1003" w:type="dxa"/>
            <w:shd w:val="clear" w:color="auto" w:fill="FF99FF"/>
          </w:tcPr>
          <w:p w:rsidR="001D71AD" w:rsidRPr="001669ED" w:rsidRDefault="001D71AD" w:rsidP="00A5345D">
            <w:pPr>
              <w:ind w:left="16" w:right="-10"/>
              <w:jc w:val="both"/>
              <w:rPr>
                <w:sz w:val="18"/>
                <w:lang w:val="fr-CA"/>
              </w:rPr>
            </w:pPr>
            <w:r w:rsidRPr="001669ED">
              <w:rPr>
                <w:sz w:val="18"/>
                <w:lang w:val="fr-CA"/>
              </w:rPr>
              <w:t>1</w:t>
            </w:r>
          </w:p>
        </w:tc>
        <w:tc>
          <w:tcPr>
            <w:tcW w:w="1136" w:type="dxa"/>
            <w:shd w:val="clear" w:color="auto" w:fill="FF99FF"/>
          </w:tcPr>
          <w:p w:rsidR="001D71AD" w:rsidRPr="001669ED" w:rsidRDefault="001D71AD" w:rsidP="0017110D">
            <w:pPr>
              <w:ind w:left="16" w:right="-10"/>
              <w:jc w:val="both"/>
              <w:rPr>
                <w:sz w:val="18"/>
                <w:lang w:val="fr-CA"/>
              </w:rPr>
            </w:pPr>
            <w:r w:rsidRPr="001669ED">
              <w:rPr>
                <w:sz w:val="18"/>
                <w:lang w:val="fr-CA"/>
              </w:rPr>
              <w:t>0,05%</w:t>
            </w:r>
          </w:p>
        </w:tc>
      </w:tr>
    </w:tbl>
    <w:p w:rsidR="001D71AD" w:rsidRPr="001669ED" w:rsidRDefault="001D71AD" w:rsidP="00A5345D">
      <w:pPr>
        <w:ind w:left="1080" w:right="720"/>
        <w:jc w:val="both"/>
        <w:rPr>
          <w:lang w:val="fr-CA"/>
        </w:rPr>
      </w:pPr>
    </w:p>
    <w:p w:rsidR="001D71AD" w:rsidRPr="008537F6" w:rsidRDefault="001D71AD" w:rsidP="00BB13A1">
      <w:pPr>
        <w:numPr>
          <w:ilvl w:val="0"/>
          <w:numId w:val="4"/>
        </w:numPr>
        <w:ind w:left="1080" w:right="720" w:firstLine="0"/>
        <w:jc w:val="both"/>
        <w:rPr>
          <w:lang w:val="fr-FR"/>
        </w:rPr>
      </w:pPr>
      <w:r w:rsidRPr="008537F6">
        <w:rPr>
          <w:lang w:val="fr-FR"/>
        </w:rPr>
        <w:t xml:space="preserve">Ainsi, il y a au total 40pays dans le quadrant rouge (18% de la population totale), 21 </w:t>
      </w:r>
      <w:r>
        <w:rPr>
          <w:lang w:val="fr-FR"/>
        </w:rPr>
        <w:t>dans l’</w:t>
      </w:r>
      <w:r w:rsidRPr="008537F6">
        <w:rPr>
          <w:lang w:val="fr-FR"/>
        </w:rPr>
        <w:t xml:space="preserve">orange (30%, ou 11% </w:t>
      </w:r>
      <w:r>
        <w:rPr>
          <w:lang w:val="fr-FR"/>
        </w:rPr>
        <w:t>si l’Inde est retiré</w:t>
      </w:r>
      <w:r w:rsidRPr="008537F6">
        <w:rPr>
          <w:lang w:val="fr-FR"/>
        </w:rPr>
        <w:t>e du calcul), 16</w:t>
      </w:r>
      <w:r>
        <w:rPr>
          <w:lang w:val="fr-FR"/>
        </w:rPr>
        <w:t>dans le jau</w:t>
      </w:r>
      <w:r w:rsidRPr="008537F6">
        <w:rPr>
          <w:lang w:val="fr-FR"/>
        </w:rPr>
        <w:t xml:space="preserve">ne (9%), </w:t>
      </w:r>
      <w:r>
        <w:rPr>
          <w:lang w:val="fr-FR"/>
        </w:rPr>
        <w:t>et</w:t>
      </w:r>
      <w:r w:rsidRPr="008537F6">
        <w:rPr>
          <w:lang w:val="fr-FR"/>
        </w:rPr>
        <w:t xml:space="preserve"> 44</w:t>
      </w:r>
      <w:r>
        <w:rPr>
          <w:lang w:val="fr-FR"/>
        </w:rPr>
        <w:t>dans le rose</w:t>
      </w:r>
      <w:r w:rsidRPr="008537F6">
        <w:rPr>
          <w:lang w:val="fr-FR"/>
        </w:rPr>
        <w:t xml:space="preserve"> (44%, o</w:t>
      </w:r>
      <w:r>
        <w:rPr>
          <w:lang w:val="fr-FR"/>
        </w:rPr>
        <w:t>u</w:t>
      </w:r>
      <w:r w:rsidRPr="008537F6">
        <w:rPr>
          <w:lang w:val="fr-FR"/>
        </w:rPr>
        <w:t xml:space="preserve"> 26% </w:t>
      </w:r>
      <w:r>
        <w:rPr>
          <w:lang w:val="fr-FR"/>
        </w:rPr>
        <w:t>si la Chine est retirée du calcul</w:t>
      </w:r>
      <w:r w:rsidRPr="008537F6">
        <w:rPr>
          <w:lang w:val="fr-FR"/>
        </w:rPr>
        <w:t>).</w:t>
      </w:r>
      <w:r w:rsidRPr="00FD632F">
        <w:rPr>
          <w:lang w:val="fr-FR"/>
        </w:rPr>
        <w:footnoteReference w:id="9"/>
      </w:r>
    </w:p>
    <w:p w:rsidR="001D71AD" w:rsidRPr="008537F6" w:rsidRDefault="001D71AD" w:rsidP="00A31EF8">
      <w:pPr>
        <w:ind w:left="1080" w:right="720"/>
        <w:jc w:val="both"/>
        <w:rPr>
          <w:lang w:val="fr-FR"/>
        </w:rPr>
      </w:pPr>
    </w:p>
    <w:p w:rsidR="001D71AD" w:rsidRPr="008537F6" w:rsidRDefault="001D71AD" w:rsidP="00BB13A1">
      <w:pPr>
        <w:numPr>
          <w:ilvl w:val="0"/>
          <w:numId w:val="4"/>
        </w:numPr>
        <w:ind w:left="1080" w:right="720" w:firstLine="0"/>
        <w:jc w:val="both"/>
        <w:rPr>
          <w:lang w:val="fr-FR"/>
        </w:rPr>
      </w:pPr>
      <w:r w:rsidRPr="008537F6">
        <w:rPr>
          <w:lang w:val="fr-FR"/>
        </w:rPr>
        <w:t xml:space="preserve">L’appendice de ce document donne une liste par quadrant des pays dans lesquels œuvre l’UNFPA (y compris la liste des pays contenus dans chaque programme multi-pays), </w:t>
      </w:r>
      <w:r>
        <w:rPr>
          <w:lang w:val="fr-FR"/>
        </w:rPr>
        <w:t xml:space="preserve">tandis que la carte ci-dessous </w:t>
      </w:r>
      <w:r w:rsidRPr="008537F6">
        <w:rPr>
          <w:lang w:val="fr-FR"/>
        </w:rPr>
        <w:t xml:space="preserve">(Figure 6) </w:t>
      </w:r>
      <w:r>
        <w:rPr>
          <w:lang w:val="fr-FR"/>
        </w:rPr>
        <w:t>nous en donne une représentation visuelle</w:t>
      </w:r>
      <w:r w:rsidRPr="008537F6">
        <w:rPr>
          <w:lang w:val="fr-FR"/>
        </w:rPr>
        <w:t>.</w:t>
      </w:r>
    </w:p>
    <w:p w:rsidR="001D71AD" w:rsidRPr="008537F6" w:rsidRDefault="001D71AD" w:rsidP="008E625E">
      <w:pPr>
        <w:pStyle w:val="ListParagraph"/>
        <w:rPr>
          <w:lang w:val="fr-FR"/>
        </w:rPr>
      </w:pPr>
    </w:p>
    <w:p w:rsidR="001D71AD" w:rsidRPr="008537F6" w:rsidRDefault="001D71AD" w:rsidP="008E625E">
      <w:pPr>
        <w:keepNext/>
        <w:ind w:left="360" w:right="720"/>
        <w:jc w:val="both"/>
        <w:rPr>
          <w:lang w:val="fr-FR"/>
        </w:rPr>
      </w:pPr>
      <w:r w:rsidRPr="008537F6">
        <w:rPr>
          <w:b/>
          <w:lang w:val="fr-FR"/>
        </w:rPr>
        <w:lastRenderedPageBreak/>
        <w:t>Figure 6: Carte des pays du programme de l</w:t>
      </w:r>
      <w:r>
        <w:rPr>
          <w:b/>
          <w:lang w:val="fr-FR"/>
        </w:rPr>
        <w:t>’</w:t>
      </w:r>
      <w:r w:rsidRPr="008537F6">
        <w:rPr>
          <w:b/>
          <w:lang w:val="fr-FR"/>
        </w:rPr>
        <w:t xml:space="preserve">UNFPA </w:t>
      </w:r>
      <w:r>
        <w:rPr>
          <w:b/>
          <w:lang w:val="fr-FR"/>
        </w:rPr>
        <w:t xml:space="preserve">par quadrant </w:t>
      </w:r>
    </w:p>
    <w:p w:rsidR="001D71AD" w:rsidRDefault="00675BF5" w:rsidP="008E625E">
      <w:pPr>
        <w:ind w:left="360" w:right="720"/>
        <w:jc w:val="both"/>
        <w:rPr>
          <w:lang w:val="en-US"/>
        </w:rPr>
      </w:pPr>
      <w:r>
        <w:rPr>
          <w:noProof/>
          <w:lang w:val="en-US"/>
        </w:rPr>
        <w:drawing>
          <wp:inline distT="0" distB="0" distL="0" distR="0">
            <wp:extent cx="5829300" cy="28575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9300" cy="2857500"/>
                    </a:xfrm>
                    <a:prstGeom prst="rect">
                      <a:avLst/>
                    </a:prstGeom>
                    <a:noFill/>
                    <a:ln>
                      <a:noFill/>
                    </a:ln>
                  </pic:spPr>
                </pic:pic>
              </a:graphicData>
            </a:graphic>
          </wp:inline>
        </w:drawing>
      </w:r>
    </w:p>
    <w:p w:rsidR="001D71AD" w:rsidRDefault="001D71AD" w:rsidP="00834955">
      <w:pPr>
        <w:pStyle w:val="ListParagraph"/>
        <w:rPr>
          <w:lang w:val="en-US"/>
        </w:rPr>
      </w:pPr>
    </w:p>
    <w:p w:rsidR="001D71AD" w:rsidRPr="00445095" w:rsidRDefault="001D71AD" w:rsidP="00A5345D">
      <w:pPr>
        <w:ind w:left="1080" w:right="720"/>
        <w:jc w:val="both"/>
        <w:rPr>
          <w:lang w:val="en-US"/>
        </w:rPr>
      </w:pPr>
    </w:p>
    <w:p w:rsidR="001D71AD" w:rsidRPr="00445095" w:rsidRDefault="001D71AD" w:rsidP="00BB13A1">
      <w:pPr>
        <w:pStyle w:val="Heading3"/>
        <w:numPr>
          <w:ilvl w:val="0"/>
          <w:numId w:val="9"/>
        </w:numPr>
        <w:ind w:left="1800" w:hanging="720"/>
      </w:pPr>
      <w:r w:rsidRPr="001669ED">
        <w:rPr>
          <w:lang w:val="fr-FR"/>
        </w:rPr>
        <w:t xml:space="preserve">Établir des pourcentages de ressources par groupe </w:t>
      </w:r>
    </w:p>
    <w:p w:rsidR="001D71AD" w:rsidRPr="00983805" w:rsidRDefault="001D71AD" w:rsidP="00BB13A1">
      <w:pPr>
        <w:numPr>
          <w:ilvl w:val="0"/>
          <w:numId w:val="4"/>
        </w:numPr>
        <w:ind w:left="1080" w:right="720" w:firstLine="0"/>
        <w:jc w:val="both"/>
        <w:rPr>
          <w:lang w:val="fr-FR"/>
        </w:rPr>
      </w:pPr>
      <w:r w:rsidRPr="00D27B0D">
        <w:rPr>
          <w:lang w:val="fr-FR"/>
        </w:rPr>
        <w:t xml:space="preserve">Comme indiqué ci-dessus, aucune logique ne sous-tend le volume de ressources allant à chaque groupe sinon que celui-ci est basé sur des chiffres antérieurs. </w:t>
      </w:r>
    </w:p>
    <w:p w:rsidR="001D71AD" w:rsidRPr="00983805" w:rsidRDefault="001D71AD" w:rsidP="00A31EF8">
      <w:pPr>
        <w:ind w:left="1080" w:right="720"/>
        <w:jc w:val="both"/>
        <w:rPr>
          <w:lang w:val="fr-FR"/>
        </w:rPr>
      </w:pPr>
    </w:p>
    <w:p w:rsidR="001D71AD" w:rsidRPr="000C6558" w:rsidRDefault="001D71AD" w:rsidP="00BB13A1">
      <w:pPr>
        <w:numPr>
          <w:ilvl w:val="0"/>
          <w:numId w:val="4"/>
        </w:numPr>
        <w:ind w:left="1080" w:right="720" w:firstLine="0"/>
        <w:jc w:val="both"/>
        <w:rPr>
          <w:lang w:val="fr-FR"/>
        </w:rPr>
      </w:pPr>
      <w:r w:rsidRPr="007E09BA">
        <w:rPr>
          <w:lang w:val="fr-FR"/>
        </w:rPr>
        <w:t xml:space="preserve">La </w:t>
      </w:r>
      <w:r>
        <w:rPr>
          <w:lang w:val="fr-FR"/>
        </w:rPr>
        <w:t>mé</w:t>
      </w:r>
      <w:r w:rsidRPr="007E09BA">
        <w:rPr>
          <w:lang w:val="fr-FR"/>
        </w:rPr>
        <w:t>thod</w:t>
      </w:r>
      <w:r>
        <w:rPr>
          <w:lang w:val="fr-FR"/>
        </w:rPr>
        <w:t>e</w:t>
      </w:r>
      <w:r w:rsidRPr="007E09BA">
        <w:rPr>
          <w:lang w:val="fr-FR"/>
        </w:rPr>
        <w:t xml:space="preserve"> proposée apporte un justificatif solide, fondé sur les faits à une division par quadrant de couleur. Dans ce cas, la détermination du besoin décrite ci-dessus guide le partage des ressources par quadrant, qui </w:t>
      </w:r>
      <w:r>
        <w:rPr>
          <w:lang w:val="fr-FR"/>
        </w:rPr>
        <w:t xml:space="preserve">conduit au pourcentage de ressources figurant au tableau 9. </w:t>
      </w:r>
      <w:r w:rsidRPr="000C6558">
        <w:rPr>
          <w:lang w:val="fr-FR"/>
        </w:rPr>
        <w:t xml:space="preserve">Comme indiqué auparavant, la transition ne se produira que progressivement, ainsi </w:t>
      </w:r>
      <w:r>
        <w:rPr>
          <w:lang w:val="fr-FR"/>
        </w:rPr>
        <w:t xml:space="preserve">des gammes différentes sont établies pour </w:t>
      </w:r>
      <w:r w:rsidRPr="000C6558">
        <w:rPr>
          <w:color w:val="000000"/>
          <w:lang w:val="fr-FR"/>
        </w:rPr>
        <w:t xml:space="preserve">2014-2015 </w:t>
      </w:r>
      <w:r>
        <w:rPr>
          <w:color w:val="000000"/>
          <w:lang w:val="fr-FR"/>
        </w:rPr>
        <w:t>et</w:t>
      </w:r>
      <w:r w:rsidRPr="000C6558">
        <w:rPr>
          <w:color w:val="000000"/>
          <w:lang w:val="fr-FR"/>
        </w:rPr>
        <w:t xml:space="preserve"> 2016-2017.</w:t>
      </w:r>
    </w:p>
    <w:p w:rsidR="001D71AD" w:rsidRPr="000C6558" w:rsidRDefault="001D71AD" w:rsidP="00A5345D">
      <w:pPr>
        <w:ind w:left="1080" w:right="720"/>
        <w:jc w:val="both"/>
        <w:rPr>
          <w:lang w:val="fr-FR"/>
        </w:rPr>
      </w:pPr>
    </w:p>
    <w:p w:rsidR="001D71AD" w:rsidRPr="000C6558" w:rsidRDefault="001D71AD" w:rsidP="00A5345D">
      <w:pPr>
        <w:ind w:left="1080" w:right="720"/>
        <w:jc w:val="both"/>
        <w:rPr>
          <w:lang w:val="fr-FR"/>
        </w:rPr>
      </w:pPr>
      <w:r w:rsidRPr="000C6558">
        <w:rPr>
          <w:b/>
          <w:lang w:val="fr-FR"/>
        </w:rPr>
        <w:t>Tableau9: Réparti</w:t>
      </w:r>
      <w:r>
        <w:rPr>
          <w:b/>
          <w:lang w:val="fr-FR"/>
        </w:rPr>
        <w:t>ti</w:t>
      </w:r>
      <w:r w:rsidRPr="000C6558">
        <w:rPr>
          <w:b/>
          <w:lang w:val="fr-FR"/>
        </w:rPr>
        <w:t xml:space="preserve">on des ressources, des populations et des pays par quadrant </w:t>
      </w: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4"/>
        <w:gridCol w:w="2493"/>
        <w:gridCol w:w="2493"/>
      </w:tblGrid>
      <w:tr w:rsidR="001D71AD" w:rsidRPr="00D545A4" w:rsidTr="007A5110">
        <w:trPr>
          <w:cantSplit/>
        </w:trPr>
        <w:tc>
          <w:tcPr>
            <w:tcW w:w="1404" w:type="dxa"/>
          </w:tcPr>
          <w:p w:rsidR="001D71AD" w:rsidRPr="000C6558" w:rsidRDefault="001D71AD" w:rsidP="000E2434">
            <w:pPr>
              <w:keepNext/>
              <w:keepLines/>
              <w:rPr>
                <w:sz w:val="18"/>
                <w:lang w:val="fr-FR"/>
              </w:rPr>
            </w:pPr>
          </w:p>
        </w:tc>
        <w:tc>
          <w:tcPr>
            <w:tcW w:w="2493" w:type="dxa"/>
          </w:tcPr>
          <w:p w:rsidR="001D71AD" w:rsidRPr="00D545A4" w:rsidRDefault="001D71AD" w:rsidP="000C6558">
            <w:pPr>
              <w:keepNext/>
              <w:keepLines/>
              <w:rPr>
                <w:b/>
                <w:sz w:val="18"/>
              </w:rPr>
            </w:pPr>
            <w:r>
              <w:rPr>
                <w:b/>
                <w:sz w:val="18"/>
              </w:rPr>
              <w:t>Pourcentage</w:t>
            </w:r>
            <w:r w:rsidRPr="00D545A4">
              <w:rPr>
                <w:b/>
                <w:sz w:val="18"/>
              </w:rPr>
              <w:t>, 2014-2015</w:t>
            </w:r>
          </w:p>
        </w:tc>
        <w:tc>
          <w:tcPr>
            <w:tcW w:w="2493" w:type="dxa"/>
          </w:tcPr>
          <w:p w:rsidR="001D71AD" w:rsidRPr="00D545A4" w:rsidRDefault="001D71AD" w:rsidP="000C6558">
            <w:pPr>
              <w:keepNext/>
              <w:keepLines/>
              <w:rPr>
                <w:b/>
                <w:sz w:val="18"/>
              </w:rPr>
            </w:pPr>
            <w:r>
              <w:rPr>
                <w:b/>
                <w:sz w:val="18"/>
              </w:rPr>
              <w:t>Pourcentage</w:t>
            </w:r>
            <w:r w:rsidRPr="00D545A4">
              <w:rPr>
                <w:b/>
                <w:sz w:val="18"/>
              </w:rPr>
              <w:t>, 2016-2017</w:t>
            </w:r>
          </w:p>
        </w:tc>
      </w:tr>
      <w:tr w:rsidR="001D71AD" w:rsidRPr="00D545A4" w:rsidTr="007A5110">
        <w:trPr>
          <w:cantSplit/>
        </w:trPr>
        <w:tc>
          <w:tcPr>
            <w:tcW w:w="1404" w:type="dxa"/>
          </w:tcPr>
          <w:p w:rsidR="001D71AD" w:rsidRPr="00D545A4" w:rsidRDefault="001D71AD" w:rsidP="000C6558">
            <w:pPr>
              <w:keepNext/>
              <w:keepLines/>
              <w:rPr>
                <w:b/>
                <w:sz w:val="18"/>
              </w:rPr>
            </w:pPr>
            <w:r w:rsidRPr="00D545A4">
              <w:rPr>
                <w:b/>
                <w:sz w:val="18"/>
              </w:rPr>
              <w:t>R</w:t>
            </w:r>
            <w:r>
              <w:rPr>
                <w:b/>
                <w:sz w:val="18"/>
              </w:rPr>
              <w:t>ouge</w:t>
            </w:r>
          </w:p>
        </w:tc>
        <w:tc>
          <w:tcPr>
            <w:tcW w:w="2493" w:type="dxa"/>
            <w:shd w:val="clear" w:color="auto" w:fill="FF2929"/>
          </w:tcPr>
          <w:p w:rsidR="001D71AD" w:rsidRPr="00D545A4" w:rsidRDefault="001D71AD" w:rsidP="000E2434">
            <w:pPr>
              <w:keepNext/>
              <w:keepLines/>
              <w:rPr>
                <w:sz w:val="18"/>
              </w:rPr>
            </w:pPr>
            <w:r>
              <w:rPr>
                <w:sz w:val="18"/>
              </w:rPr>
              <w:t>50</w:t>
            </w:r>
            <w:r w:rsidRPr="00D545A4">
              <w:rPr>
                <w:sz w:val="18"/>
              </w:rPr>
              <w:t>-5</w:t>
            </w:r>
            <w:r>
              <w:rPr>
                <w:sz w:val="18"/>
              </w:rPr>
              <w:t>2</w:t>
            </w:r>
            <w:r w:rsidRPr="00D545A4">
              <w:rPr>
                <w:sz w:val="18"/>
              </w:rPr>
              <w:t>%</w:t>
            </w:r>
          </w:p>
        </w:tc>
        <w:tc>
          <w:tcPr>
            <w:tcW w:w="2493" w:type="dxa"/>
            <w:shd w:val="clear" w:color="auto" w:fill="FF2929"/>
          </w:tcPr>
          <w:p w:rsidR="001D71AD" w:rsidRPr="00D545A4" w:rsidRDefault="001D71AD" w:rsidP="000E2434">
            <w:pPr>
              <w:keepNext/>
              <w:keepLines/>
              <w:rPr>
                <w:sz w:val="18"/>
              </w:rPr>
            </w:pPr>
            <w:r>
              <w:rPr>
                <w:sz w:val="18"/>
              </w:rPr>
              <w:t>59</w:t>
            </w:r>
            <w:r w:rsidRPr="00D545A4">
              <w:rPr>
                <w:sz w:val="18"/>
              </w:rPr>
              <w:t>-6</w:t>
            </w:r>
            <w:r>
              <w:rPr>
                <w:sz w:val="18"/>
              </w:rPr>
              <w:t>1</w:t>
            </w:r>
            <w:r w:rsidRPr="00D545A4">
              <w:rPr>
                <w:sz w:val="18"/>
              </w:rPr>
              <w:t>%</w:t>
            </w:r>
          </w:p>
        </w:tc>
      </w:tr>
      <w:tr w:rsidR="001D71AD" w:rsidRPr="00D545A4" w:rsidTr="007A5110">
        <w:trPr>
          <w:cantSplit/>
        </w:trPr>
        <w:tc>
          <w:tcPr>
            <w:tcW w:w="1404" w:type="dxa"/>
          </w:tcPr>
          <w:p w:rsidR="001D71AD" w:rsidRPr="00D545A4" w:rsidRDefault="001D71AD" w:rsidP="000E2434">
            <w:pPr>
              <w:keepNext/>
              <w:keepLines/>
              <w:rPr>
                <w:b/>
                <w:sz w:val="18"/>
              </w:rPr>
            </w:pPr>
            <w:r w:rsidRPr="00D545A4">
              <w:rPr>
                <w:b/>
                <w:sz w:val="18"/>
              </w:rPr>
              <w:t>Orange</w:t>
            </w:r>
          </w:p>
        </w:tc>
        <w:tc>
          <w:tcPr>
            <w:tcW w:w="2493" w:type="dxa"/>
            <w:shd w:val="clear" w:color="auto" w:fill="FFC000"/>
          </w:tcPr>
          <w:p w:rsidR="001D71AD" w:rsidRPr="00D545A4" w:rsidRDefault="001D71AD" w:rsidP="000E2434">
            <w:pPr>
              <w:keepNext/>
              <w:keepLines/>
              <w:rPr>
                <w:sz w:val="18"/>
              </w:rPr>
            </w:pPr>
            <w:r>
              <w:rPr>
                <w:sz w:val="18"/>
              </w:rPr>
              <w:t>21</w:t>
            </w:r>
            <w:r w:rsidRPr="00D545A4">
              <w:rPr>
                <w:sz w:val="18"/>
              </w:rPr>
              <w:t>-2</w:t>
            </w:r>
            <w:r>
              <w:rPr>
                <w:sz w:val="18"/>
              </w:rPr>
              <w:t>3</w:t>
            </w:r>
            <w:r w:rsidRPr="00D545A4">
              <w:rPr>
                <w:sz w:val="18"/>
              </w:rPr>
              <w:t>%</w:t>
            </w:r>
          </w:p>
        </w:tc>
        <w:tc>
          <w:tcPr>
            <w:tcW w:w="2493" w:type="dxa"/>
            <w:shd w:val="clear" w:color="auto" w:fill="FFC000"/>
          </w:tcPr>
          <w:p w:rsidR="001D71AD" w:rsidRPr="00D545A4" w:rsidRDefault="001D71AD" w:rsidP="000E2434">
            <w:pPr>
              <w:keepNext/>
              <w:keepLines/>
              <w:rPr>
                <w:sz w:val="18"/>
              </w:rPr>
            </w:pPr>
            <w:r>
              <w:rPr>
                <w:sz w:val="18"/>
              </w:rPr>
              <w:t>20</w:t>
            </w:r>
            <w:r w:rsidRPr="00D545A4">
              <w:rPr>
                <w:sz w:val="18"/>
              </w:rPr>
              <w:t>-2</w:t>
            </w:r>
            <w:r>
              <w:rPr>
                <w:sz w:val="18"/>
              </w:rPr>
              <w:t>2</w:t>
            </w:r>
            <w:r w:rsidRPr="00D545A4">
              <w:rPr>
                <w:sz w:val="18"/>
              </w:rPr>
              <w:t>%</w:t>
            </w:r>
          </w:p>
        </w:tc>
      </w:tr>
      <w:tr w:rsidR="001D71AD" w:rsidRPr="00D545A4" w:rsidTr="007A5110">
        <w:trPr>
          <w:cantSplit/>
        </w:trPr>
        <w:tc>
          <w:tcPr>
            <w:tcW w:w="1404" w:type="dxa"/>
          </w:tcPr>
          <w:p w:rsidR="001D71AD" w:rsidRPr="00D545A4" w:rsidRDefault="001D71AD" w:rsidP="000C6558">
            <w:pPr>
              <w:keepNext/>
              <w:keepLines/>
              <w:rPr>
                <w:b/>
                <w:sz w:val="18"/>
              </w:rPr>
            </w:pPr>
            <w:r>
              <w:rPr>
                <w:b/>
                <w:sz w:val="18"/>
              </w:rPr>
              <w:t>Jaune</w:t>
            </w:r>
          </w:p>
        </w:tc>
        <w:tc>
          <w:tcPr>
            <w:tcW w:w="2493" w:type="dxa"/>
            <w:shd w:val="clear" w:color="auto" w:fill="FFFF00"/>
          </w:tcPr>
          <w:p w:rsidR="001D71AD" w:rsidRPr="00D545A4" w:rsidRDefault="001D71AD" w:rsidP="000E2434">
            <w:pPr>
              <w:keepNext/>
              <w:keepLines/>
              <w:rPr>
                <w:sz w:val="18"/>
              </w:rPr>
            </w:pPr>
            <w:r>
              <w:rPr>
                <w:sz w:val="18"/>
              </w:rPr>
              <w:t>10-12</w:t>
            </w:r>
            <w:r w:rsidRPr="00D545A4">
              <w:rPr>
                <w:sz w:val="18"/>
              </w:rPr>
              <w:t>%</w:t>
            </w:r>
          </w:p>
        </w:tc>
        <w:tc>
          <w:tcPr>
            <w:tcW w:w="2493" w:type="dxa"/>
            <w:shd w:val="clear" w:color="auto" w:fill="FFFF00"/>
          </w:tcPr>
          <w:p w:rsidR="001D71AD" w:rsidRPr="00D545A4" w:rsidRDefault="001D71AD" w:rsidP="000E2434">
            <w:pPr>
              <w:keepNext/>
              <w:keepLines/>
              <w:rPr>
                <w:sz w:val="18"/>
              </w:rPr>
            </w:pPr>
            <w:r>
              <w:rPr>
                <w:sz w:val="18"/>
              </w:rPr>
              <w:t>6-8</w:t>
            </w:r>
            <w:r w:rsidRPr="00D545A4">
              <w:rPr>
                <w:sz w:val="18"/>
              </w:rPr>
              <w:t>%</w:t>
            </w:r>
          </w:p>
        </w:tc>
      </w:tr>
      <w:tr w:rsidR="001D71AD" w:rsidRPr="00D545A4" w:rsidTr="007A5110">
        <w:trPr>
          <w:cantSplit/>
        </w:trPr>
        <w:tc>
          <w:tcPr>
            <w:tcW w:w="1404" w:type="dxa"/>
          </w:tcPr>
          <w:p w:rsidR="001D71AD" w:rsidRPr="00D545A4" w:rsidRDefault="001D71AD" w:rsidP="000C6558">
            <w:pPr>
              <w:keepNext/>
              <w:keepLines/>
              <w:rPr>
                <w:b/>
                <w:sz w:val="18"/>
              </w:rPr>
            </w:pPr>
            <w:r>
              <w:rPr>
                <w:b/>
                <w:sz w:val="18"/>
              </w:rPr>
              <w:t>Rose</w:t>
            </w:r>
          </w:p>
        </w:tc>
        <w:tc>
          <w:tcPr>
            <w:tcW w:w="2493" w:type="dxa"/>
            <w:shd w:val="clear" w:color="auto" w:fill="FF99FF"/>
          </w:tcPr>
          <w:p w:rsidR="001D71AD" w:rsidRPr="00D545A4" w:rsidRDefault="001D71AD" w:rsidP="000E2434">
            <w:pPr>
              <w:keepNext/>
              <w:keepLines/>
              <w:rPr>
                <w:sz w:val="18"/>
              </w:rPr>
            </w:pPr>
            <w:r w:rsidRPr="00D545A4">
              <w:rPr>
                <w:sz w:val="18"/>
              </w:rPr>
              <w:t>1</w:t>
            </w:r>
            <w:r>
              <w:rPr>
                <w:sz w:val="18"/>
              </w:rPr>
              <w:t>5</w:t>
            </w:r>
            <w:r w:rsidRPr="00D545A4">
              <w:rPr>
                <w:sz w:val="18"/>
              </w:rPr>
              <w:t>-17%</w:t>
            </w:r>
          </w:p>
        </w:tc>
        <w:tc>
          <w:tcPr>
            <w:tcW w:w="2493" w:type="dxa"/>
            <w:shd w:val="clear" w:color="auto" w:fill="FF99FF"/>
          </w:tcPr>
          <w:p w:rsidR="001D71AD" w:rsidRPr="00D545A4" w:rsidRDefault="001D71AD" w:rsidP="000E2434">
            <w:pPr>
              <w:keepNext/>
              <w:keepLines/>
              <w:rPr>
                <w:sz w:val="18"/>
              </w:rPr>
            </w:pPr>
            <w:r w:rsidRPr="00D545A4">
              <w:rPr>
                <w:sz w:val="18"/>
              </w:rPr>
              <w:t>11-1</w:t>
            </w:r>
            <w:r>
              <w:rPr>
                <w:sz w:val="18"/>
              </w:rPr>
              <w:t>3</w:t>
            </w:r>
            <w:r w:rsidRPr="00D545A4">
              <w:rPr>
                <w:sz w:val="18"/>
              </w:rPr>
              <w:t>%</w:t>
            </w:r>
          </w:p>
        </w:tc>
      </w:tr>
    </w:tbl>
    <w:p w:rsidR="001D71AD" w:rsidRDefault="001D71AD" w:rsidP="00A5345D">
      <w:pPr>
        <w:ind w:left="1080" w:right="720"/>
        <w:jc w:val="both"/>
        <w:rPr>
          <w:lang w:val="en-US"/>
        </w:rPr>
      </w:pPr>
    </w:p>
    <w:p w:rsidR="001D71AD" w:rsidRDefault="001D71AD" w:rsidP="00BB13A1">
      <w:pPr>
        <w:numPr>
          <w:ilvl w:val="0"/>
          <w:numId w:val="4"/>
        </w:numPr>
        <w:ind w:left="1080" w:right="720" w:firstLine="0"/>
        <w:jc w:val="both"/>
        <w:rPr>
          <w:lang w:val="fr-FR"/>
        </w:rPr>
      </w:pPr>
      <w:r w:rsidRPr="00C24602">
        <w:rPr>
          <w:lang w:val="fr-FR"/>
        </w:rPr>
        <w:t xml:space="preserve">Comme dans le SAR actuel, l’agrément du Conseil d’administration porte sur les gammes pour chaque groupe de pays. </w:t>
      </w:r>
    </w:p>
    <w:p w:rsidR="001D71AD" w:rsidRPr="00C24602" w:rsidRDefault="001D71AD" w:rsidP="00A31EF8">
      <w:pPr>
        <w:ind w:left="1080" w:right="720"/>
        <w:jc w:val="both"/>
        <w:rPr>
          <w:lang w:val="fr-FR"/>
        </w:rPr>
      </w:pPr>
    </w:p>
    <w:p w:rsidR="001D71AD" w:rsidRDefault="001D71AD" w:rsidP="00BB13A1">
      <w:pPr>
        <w:numPr>
          <w:ilvl w:val="0"/>
          <w:numId w:val="4"/>
        </w:numPr>
        <w:ind w:left="1080" w:right="720" w:firstLine="0"/>
        <w:jc w:val="both"/>
        <w:rPr>
          <w:lang w:val="fr-FR"/>
        </w:rPr>
      </w:pPr>
      <w:r w:rsidRPr="004A42C3">
        <w:rPr>
          <w:lang w:val="fr-FR"/>
        </w:rPr>
        <w:t xml:space="preserve">Les attributions indicatives peuvent aussi servir à donner une idée générale de l’attribution des ressources pour d’autres manières de grouper les pays par </w:t>
      </w:r>
      <w:r>
        <w:rPr>
          <w:lang w:val="fr-FR"/>
        </w:rPr>
        <w:t>caté</w:t>
      </w:r>
      <w:r w:rsidRPr="004A42C3">
        <w:rPr>
          <w:lang w:val="fr-FR"/>
        </w:rPr>
        <w:t>gories comme la situation géographique ou le revenu.</w:t>
      </w:r>
      <w:r w:rsidRPr="00C24602">
        <w:rPr>
          <w:lang w:val="fr-FR"/>
        </w:rPr>
        <w:t>Il est important de souligner que les chiffres suivants sont indicatifs seulement car les répartitions finales ne peuvent être fixées qu’en se fondant sur les chiffres finaux de planification pour chaque pays fix</w:t>
      </w:r>
      <w:r>
        <w:rPr>
          <w:lang w:val="fr-FR"/>
        </w:rPr>
        <w:t>és par le Conseil d’administration dans le processus d’approbation des documents de programme de pays (voir ci-dessous).</w:t>
      </w:r>
      <w:r w:rsidRPr="00010A5F">
        <w:rPr>
          <w:lang w:val="fr-FR"/>
        </w:rPr>
        <w:t>Conformément à la pratique historique, il n’est demandé au Conseil d’administration que d’approuver une gamme de ressources à attribuer aux pays d’après les quadrants de couleur, au lieu de la g</w:t>
      </w:r>
      <w:r>
        <w:rPr>
          <w:lang w:val="fr-FR"/>
        </w:rPr>
        <w:t xml:space="preserve">éographie ou du revenu. </w:t>
      </w:r>
    </w:p>
    <w:p w:rsidR="001D71AD" w:rsidRDefault="001D71AD" w:rsidP="004C7C60">
      <w:pPr>
        <w:pStyle w:val="ListParagraph"/>
        <w:rPr>
          <w:lang w:val="fr-FR"/>
        </w:rPr>
      </w:pPr>
    </w:p>
    <w:p w:rsidR="001D71AD" w:rsidRDefault="001D71AD" w:rsidP="00BB13A1">
      <w:pPr>
        <w:numPr>
          <w:ilvl w:val="0"/>
          <w:numId w:val="4"/>
        </w:numPr>
        <w:ind w:left="1080" w:right="720" w:firstLine="0"/>
        <w:jc w:val="both"/>
        <w:rPr>
          <w:lang w:val="fr-FR"/>
        </w:rPr>
      </w:pPr>
      <w:r w:rsidRPr="002F1A5B">
        <w:rPr>
          <w:lang w:val="fr-FR"/>
        </w:rPr>
        <w:lastRenderedPageBreak/>
        <w:t xml:space="preserve">La Figure 7représente le changement des attributions par groupement géographique.La tendance est d’augmenter le financement dans les régions qui sont le plus loin d’atteindre l’agenda de la CIPD, notamment l’Afrique de l’Est et l’Afrique australe ainsi que l’Afrique de l’Ouest et l’Afrique australe. Cette tendance cadre avec les dispositions de financement du PNUD bien qu’il faille noter que même </w:t>
      </w:r>
      <w:r>
        <w:rPr>
          <w:lang w:val="fr-FR"/>
        </w:rPr>
        <w:t>d’ici</w:t>
      </w:r>
      <w:r w:rsidRPr="002F1A5B">
        <w:rPr>
          <w:lang w:val="fr-FR"/>
        </w:rPr>
        <w:t>2017, les pourcentages indicatifs d’autres régions, particulièrement l’Asie et le Pacifique ainsi que l’Amérique latine et les Caraïbes seront plus élevés pour l’UNFPA que pour le PNUD.</w:t>
      </w:r>
    </w:p>
    <w:p w:rsidR="001D71AD" w:rsidRPr="00A31EF8" w:rsidRDefault="001D71AD" w:rsidP="004C7C60">
      <w:pPr>
        <w:ind w:left="1080" w:right="720"/>
        <w:jc w:val="both"/>
        <w:rPr>
          <w:lang w:val="fr-FR"/>
        </w:rPr>
      </w:pPr>
    </w:p>
    <w:p w:rsidR="001D71AD" w:rsidRPr="002F1A5B" w:rsidRDefault="001D71AD" w:rsidP="002F1A5B">
      <w:pPr>
        <w:keepNext/>
        <w:ind w:left="1080" w:right="720"/>
        <w:jc w:val="both"/>
        <w:rPr>
          <w:lang w:val="fr-FR"/>
        </w:rPr>
      </w:pPr>
      <w:r w:rsidRPr="002F1A5B">
        <w:rPr>
          <w:b/>
          <w:lang w:val="fr-FR"/>
        </w:rPr>
        <w:t>Figure 7: Attributions indicatives par région</w:t>
      </w:r>
    </w:p>
    <w:p w:rsidR="001D71AD" w:rsidRPr="007D322D" w:rsidRDefault="00675BF5" w:rsidP="007D322D">
      <w:pPr>
        <w:ind w:left="1080" w:right="720"/>
        <w:jc w:val="both"/>
        <w:rPr>
          <w:lang w:val="en-US"/>
        </w:rPr>
      </w:pPr>
      <w:r>
        <w:rPr>
          <w:noProof/>
          <w:lang w:val="en-US"/>
        </w:rPr>
        <w:drawing>
          <wp:inline distT="0" distB="0" distL="0" distR="0">
            <wp:extent cx="4619625" cy="24288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428875"/>
                    </a:xfrm>
                    <a:prstGeom prst="rect">
                      <a:avLst/>
                    </a:prstGeom>
                    <a:noFill/>
                    <a:ln>
                      <a:noFill/>
                    </a:ln>
                  </pic:spPr>
                </pic:pic>
              </a:graphicData>
            </a:graphic>
          </wp:inline>
        </w:drawing>
      </w:r>
    </w:p>
    <w:p w:rsidR="001D71AD" w:rsidRDefault="001D71AD" w:rsidP="00875CB6">
      <w:pPr>
        <w:ind w:right="720"/>
        <w:jc w:val="both"/>
        <w:rPr>
          <w:sz w:val="16"/>
          <w:szCs w:val="16"/>
          <w:lang w:val="fr-FR"/>
        </w:rPr>
      </w:pPr>
      <w:r>
        <w:rPr>
          <w:lang w:val="en-US"/>
        </w:rPr>
        <w:tab/>
      </w:r>
      <w:r>
        <w:rPr>
          <w:lang w:val="en-US"/>
        </w:rPr>
        <w:tab/>
      </w:r>
      <w:r>
        <w:rPr>
          <w:sz w:val="16"/>
          <w:szCs w:val="16"/>
          <w:lang w:val="fr-FR"/>
        </w:rPr>
        <w:t xml:space="preserve">9,8 % 4,1 % 32,2 % 8,1 % 20,0 % 25,9 % </w:t>
      </w:r>
      <w:r>
        <w:rPr>
          <w:sz w:val="16"/>
          <w:szCs w:val="16"/>
          <w:lang w:val="fr-FR"/>
        </w:rPr>
        <w:tab/>
        <w:t xml:space="preserve">   9,6 % 3,7 % 33,3 % 7,8 %  19,9 % 25,8 %</w:t>
      </w:r>
    </w:p>
    <w:p w:rsidR="001D71AD" w:rsidRPr="00AD2B7D" w:rsidRDefault="001D71AD" w:rsidP="00875CB6">
      <w:pPr>
        <w:ind w:right="720"/>
        <w:jc w:val="both"/>
        <w:rPr>
          <w:sz w:val="16"/>
          <w:szCs w:val="16"/>
          <w:lang w:val="fr-FR"/>
        </w:rPr>
      </w:pPr>
      <w:r>
        <w:rPr>
          <w:sz w:val="16"/>
          <w:szCs w:val="16"/>
          <w:lang w:val="fr-FR"/>
        </w:rPr>
        <w:tab/>
      </w:r>
      <w:r>
        <w:rPr>
          <w:sz w:val="16"/>
          <w:szCs w:val="16"/>
          <w:lang w:val="fr-FR"/>
        </w:rPr>
        <w:tab/>
      </w:r>
      <w:r>
        <w:rPr>
          <w:sz w:val="16"/>
          <w:szCs w:val="16"/>
          <w:lang w:val="fr-FR"/>
        </w:rPr>
        <w:tab/>
        <w:t>8,2 %  3,8 %  27,4 %  8,4 %  22,6 % 29,6 %</w:t>
      </w:r>
    </w:p>
    <w:p w:rsidR="001D71AD" w:rsidRPr="00875CB6" w:rsidRDefault="001D71AD" w:rsidP="00875CB6">
      <w:pPr>
        <w:rPr>
          <w:lang w:val="fr-FR"/>
        </w:rPr>
      </w:pPr>
    </w:p>
    <w:p w:rsidR="001D71AD" w:rsidRDefault="001D71AD" w:rsidP="00875CB6">
      <w:pPr>
        <w:ind w:left="950" w:right="720" w:firstLine="475"/>
        <w:jc w:val="both"/>
        <w:rPr>
          <w:sz w:val="16"/>
          <w:szCs w:val="16"/>
          <w:lang w:val="fr-FR"/>
        </w:rPr>
      </w:pPr>
      <w:r w:rsidRPr="00AD2B7D">
        <w:rPr>
          <w:sz w:val="16"/>
          <w:szCs w:val="16"/>
          <w:lang w:val="fr-FR"/>
        </w:rPr>
        <w:t xml:space="preserve">Ancien pourcentage SAR </w:t>
      </w:r>
      <w:r w:rsidRPr="00AD2B7D">
        <w:rPr>
          <w:sz w:val="16"/>
          <w:szCs w:val="16"/>
          <w:lang w:val="fr-FR"/>
        </w:rPr>
        <w:tab/>
        <w:t xml:space="preserve">Nouveau pourcentage </w:t>
      </w:r>
      <w:r>
        <w:rPr>
          <w:sz w:val="16"/>
          <w:szCs w:val="16"/>
          <w:lang w:val="fr-FR"/>
        </w:rPr>
        <w:t>SAR (2024/2015)   Nouveau pourcentage SAR (2016-2017)</w:t>
      </w:r>
    </w:p>
    <w:p w:rsidR="001D71AD" w:rsidRDefault="001D71AD" w:rsidP="00875CB6">
      <w:pPr>
        <w:ind w:right="720"/>
        <w:jc w:val="both"/>
        <w:rPr>
          <w:sz w:val="16"/>
          <w:szCs w:val="16"/>
          <w:lang w:val="fr-FR"/>
        </w:rPr>
      </w:pPr>
      <w:r>
        <w:rPr>
          <w:sz w:val="16"/>
          <w:szCs w:val="16"/>
          <w:lang w:val="fr-FR"/>
        </w:rPr>
        <w:tab/>
      </w:r>
      <w:r>
        <w:rPr>
          <w:sz w:val="16"/>
          <w:szCs w:val="16"/>
          <w:lang w:val="fr-FR"/>
        </w:rPr>
        <w:tab/>
      </w:r>
      <w:r>
        <w:rPr>
          <w:sz w:val="16"/>
          <w:szCs w:val="16"/>
          <w:lang w:val="fr-FR"/>
        </w:rPr>
        <w:tab/>
        <w:t>Afrique de l’Est et Afrique australe</w:t>
      </w:r>
      <w:r>
        <w:rPr>
          <w:sz w:val="16"/>
          <w:szCs w:val="16"/>
          <w:lang w:val="fr-FR"/>
        </w:rPr>
        <w:tab/>
      </w:r>
      <w:r>
        <w:rPr>
          <w:sz w:val="16"/>
          <w:szCs w:val="16"/>
          <w:lang w:val="fr-FR"/>
        </w:rPr>
        <w:tab/>
      </w:r>
      <w:r>
        <w:rPr>
          <w:sz w:val="16"/>
          <w:szCs w:val="16"/>
          <w:lang w:val="fr-FR"/>
        </w:rPr>
        <w:tab/>
        <w:t>Afrique de l’Ouest et Afrique centrale</w:t>
      </w:r>
    </w:p>
    <w:p w:rsidR="001D71AD" w:rsidRDefault="001D71AD" w:rsidP="00875CB6">
      <w:pPr>
        <w:ind w:left="1080" w:right="720"/>
        <w:jc w:val="both"/>
        <w:rPr>
          <w:sz w:val="16"/>
          <w:szCs w:val="16"/>
          <w:lang w:val="fr-FR"/>
        </w:rPr>
      </w:pPr>
      <w:r>
        <w:rPr>
          <w:sz w:val="16"/>
          <w:szCs w:val="16"/>
          <w:lang w:val="fr-FR"/>
        </w:rPr>
        <w:tab/>
        <w:t>États arabes</w:t>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t>Asie et pacifique</w:t>
      </w:r>
    </w:p>
    <w:p w:rsidR="001D71AD" w:rsidRDefault="001D71AD" w:rsidP="00875CB6">
      <w:pPr>
        <w:ind w:left="1080" w:right="720"/>
        <w:jc w:val="both"/>
        <w:rPr>
          <w:sz w:val="16"/>
          <w:szCs w:val="16"/>
          <w:lang w:val="fr-FR"/>
        </w:rPr>
      </w:pPr>
      <w:r>
        <w:rPr>
          <w:sz w:val="16"/>
          <w:szCs w:val="16"/>
          <w:lang w:val="fr-FR"/>
        </w:rPr>
        <w:tab/>
        <w:t>Europe de l’Est et Asie centrale</w:t>
      </w:r>
      <w:r>
        <w:rPr>
          <w:sz w:val="16"/>
          <w:szCs w:val="16"/>
          <w:lang w:val="fr-FR"/>
        </w:rPr>
        <w:tab/>
      </w:r>
      <w:r>
        <w:rPr>
          <w:sz w:val="16"/>
          <w:szCs w:val="16"/>
          <w:lang w:val="fr-FR"/>
        </w:rPr>
        <w:tab/>
      </w:r>
      <w:r>
        <w:rPr>
          <w:sz w:val="16"/>
          <w:szCs w:val="16"/>
          <w:lang w:val="fr-FR"/>
        </w:rPr>
        <w:tab/>
        <w:t>Amérique latine et les Caraïbes</w:t>
      </w:r>
    </w:p>
    <w:p w:rsidR="001D71AD" w:rsidRPr="00AD2B7D" w:rsidRDefault="001D71AD" w:rsidP="00875CB6">
      <w:pPr>
        <w:ind w:left="1080" w:right="720"/>
        <w:jc w:val="both"/>
        <w:rPr>
          <w:sz w:val="16"/>
          <w:szCs w:val="16"/>
          <w:lang w:val="fr-FR"/>
        </w:rPr>
      </w:pPr>
    </w:p>
    <w:p w:rsidR="001D71AD" w:rsidRPr="00875CB6" w:rsidRDefault="001D71AD" w:rsidP="002F1A5B">
      <w:pPr>
        <w:ind w:right="720"/>
        <w:jc w:val="both"/>
        <w:rPr>
          <w:lang w:val="fr-FR"/>
        </w:rPr>
      </w:pPr>
    </w:p>
    <w:p w:rsidR="001D71AD" w:rsidRPr="00875CB6" w:rsidRDefault="001D71AD" w:rsidP="00BB13A1">
      <w:pPr>
        <w:keepNext/>
        <w:numPr>
          <w:ilvl w:val="0"/>
          <w:numId w:val="4"/>
        </w:numPr>
        <w:ind w:left="1080" w:right="720" w:firstLine="0"/>
        <w:rPr>
          <w:lang w:val="fr-FR"/>
        </w:rPr>
      </w:pPr>
      <w:r w:rsidRPr="002F1A5B">
        <w:rPr>
          <w:lang w:val="fr-FR"/>
        </w:rPr>
        <w:t xml:space="preserve">La Figure 8 </w:t>
      </w:r>
      <w:r>
        <w:rPr>
          <w:lang w:val="fr-FR"/>
        </w:rPr>
        <w:t>représente l</w:t>
      </w:r>
      <w:r w:rsidRPr="002F1A5B">
        <w:rPr>
          <w:lang w:val="fr-FR"/>
        </w:rPr>
        <w:t xml:space="preserve">es attributions par catégorie de revenu (selon le classement de la Banque mondiale de juillet 2013) et la Figure 9 </w:t>
      </w:r>
      <w:r>
        <w:rPr>
          <w:lang w:val="fr-FR"/>
        </w:rPr>
        <w:t xml:space="preserve">les attributions </w:t>
      </w:r>
      <w:r w:rsidRPr="002F1A5B">
        <w:rPr>
          <w:lang w:val="fr-FR"/>
        </w:rPr>
        <w:t>selon qu’un pays est classé moins avancé ou non.</w:t>
      </w:r>
      <w:r w:rsidRPr="002F1A5B">
        <w:rPr>
          <w:b/>
          <w:lang w:val="fr-FR"/>
        </w:rPr>
        <w:br w:type="page"/>
      </w:r>
      <w:r w:rsidRPr="00875CB6">
        <w:rPr>
          <w:b/>
          <w:lang w:val="fr-FR"/>
        </w:rPr>
        <w:lastRenderedPageBreak/>
        <w:t xml:space="preserve">Figure 8: </w:t>
      </w:r>
      <w:r w:rsidRPr="002F1A5B">
        <w:rPr>
          <w:b/>
          <w:lang w:val="fr-FR"/>
        </w:rPr>
        <w:t xml:space="preserve">Attributions indicatives par catégorie de revenu </w:t>
      </w:r>
    </w:p>
    <w:p w:rsidR="001D71AD" w:rsidRDefault="00675BF5" w:rsidP="00875CB6">
      <w:pPr>
        <w:ind w:left="1080" w:right="720"/>
        <w:jc w:val="both"/>
        <w:rPr>
          <w:lang w:val="en-US"/>
        </w:rPr>
      </w:pPr>
      <w:r>
        <w:rPr>
          <w:noProof/>
          <w:lang w:val="en-US"/>
        </w:rPr>
        <w:drawing>
          <wp:inline distT="0" distB="0" distL="0" distR="0">
            <wp:extent cx="4619625" cy="241935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19625" cy="2419350"/>
                    </a:xfrm>
                    <a:prstGeom prst="rect">
                      <a:avLst/>
                    </a:prstGeom>
                    <a:noFill/>
                    <a:ln>
                      <a:noFill/>
                    </a:ln>
                  </pic:spPr>
                </pic:pic>
              </a:graphicData>
            </a:graphic>
          </wp:inline>
        </w:drawing>
      </w:r>
    </w:p>
    <w:p w:rsidR="001D71AD" w:rsidRPr="008C19CF" w:rsidRDefault="001D71AD" w:rsidP="00875CB6">
      <w:pPr>
        <w:ind w:left="1080" w:right="720"/>
        <w:jc w:val="both"/>
        <w:rPr>
          <w:sz w:val="18"/>
          <w:szCs w:val="18"/>
          <w:lang w:val="fr-FR"/>
        </w:rPr>
      </w:pPr>
      <w:r w:rsidRPr="008C19CF">
        <w:rPr>
          <w:sz w:val="18"/>
          <w:szCs w:val="18"/>
          <w:lang w:val="fr-FR"/>
        </w:rPr>
        <w:t>16,3 %   40,0 %   42,8 %                                    15,7 % 40,7 % 43,0 %           12,3 %  37,8  49,1 %</w:t>
      </w:r>
    </w:p>
    <w:p w:rsidR="001D71AD" w:rsidRPr="008C19CF" w:rsidRDefault="001D71AD" w:rsidP="00875CB6">
      <w:pPr>
        <w:keepNext/>
        <w:ind w:left="1080" w:right="720"/>
        <w:jc w:val="both"/>
        <w:rPr>
          <w:sz w:val="18"/>
          <w:szCs w:val="18"/>
          <w:lang w:val="fr-FR"/>
        </w:rPr>
      </w:pPr>
      <w:r>
        <w:rPr>
          <w:sz w:val="18"/>
          <w:szCs w:val="18"/>
          <w:lang w:val="fr-FR"/>
        </w:rPr>
        <w:t xml:space="preserve"> Ancien pourcentage SAR  Nouveau pourcentage SAR (2014/15)   Nouveau pourcentage SAR (2016/17)  </w:t>
      </w:r>
    </w:p>
    <w:p w:rsidR="001D71AD" w:rsidRPr="008C19CF" w:rsidRDefault="001D71AD" w:rsidP="005437CC">
      <w:pPr>
        <w:keepNext/>
        <w:ind w:right="720"/>
        <w:jc w:val="both"/>
        <w:rPr>
          <w:lang w:val="fr-FR"/>
        </w:rPr>
      </w:pPr>
      <w:r w:rsidRPr="008C19CF">
        <w:rPr>
          <w:lang w:val="fr-FR"/>
        </w:rPr>
        <w:t>Faible revenu</w:t>
      </w:r>
      <w:r>
        <w:rPr>
          <w:lang w:val="fr-FR"/>
        </w:rPr>
        <w:tab/>
        <w:t>Revenu intermédiaire tranche inférieure</w:t>
      </w:r>
      <w:r>
        <w:rPr>
          <w:lang w:val="fr-FR"/>
        </w:rPr>
        <w:tab/>
        <w:t>Revenu intermédiaire, tranche supérieure</w:t>
      </w:r>
    </w:p>
    <w:p w:rsidR="001D71AD" w:rsidRPr="00875CB6" w:rsidRDefault="001D71AD" w:rsidP="002D4C2D">
      <w:pPr>
        <w:keepNext/>
        <w:ind w:left="1080" w:right="720"/>
        <w:jc w:val="both"/>
        <w:rPr>
          <w:b/>
          <w:lang w:val="fr-FR"/>
        </w:rPr>
      </w:pPr>
    </w:p>
    <w:p w:rsidR="001D71AD" w:rsidRPr="00875CB6" w:rsidRDefault="001D71AD" w:rsidP="002D4C2D">
      <w:pPr>
        <w:keepNext/>
        <w:ind w:left="1080" w:right="720"/>
        <w:jc w:val="both"/>
        <w:rPr>
          <w:b/>
          <w:lang w:val="fr-FR"/>
        </w:rPr>
      </w:pPr>
    </w:p>
    <w:p w:rsidR="001D71AD" w:rsidRPr="008C19CF" w:rsidRDefault="001D71AD" w:rsidP="002D4C2D">
      <w:pPr>
        <w:keepNext/>
        <w:ind w:left="1080" w:right="720"/>
        <w:jc w:val="both"/>
        <w:rPr>
          <w:lang w:val="fr-FR"/>
        </w:rPr>
      </w:pPr>
      <w:r w:rsidRPr="008C19CF">
        <w:rPr>
          <w:b/>
          <w:lang w:val="fr-FR"/>
        </w:rPr>
        <w:t>Figure 9:Attributions indicatives p</w:t>
      </w:r>
      <w:r>
        <w:rPr>
          <w:b/>
          <w:lang w:val="fr-FR"/>
        </w:rPr>
        <w:t>our pays classés comme</w:t>
      </w:r>
      <w:r w:rsidRPr="008C19CF">
        <w:rPr>
          <w:b/>
          <w:lang w:val="fr-FR"/>
        </w:rPr>
        <w:t>moins avancés</w:t>
      </w:r>
    </w:p>
    <w:p w:rsidR="001D71AD" w:rsidRDefault="00675BF5" w:rsidP="00A5345D">
      <w:pPr>
        <w:ind w:left="1080" w:right="720"/>
        <w:jc w:val="both"/>
        <w:rPr>
          <w:lang w:val="en-US"/>
        </w:rPr>
      </w:pPr>
      <w:r>
        <w:rPr>
          <w:noProof/>
          <w:lang w:val="en-US"/>
        </w:rPr>
        <w:drawing>
          <wp:inline distT="0" distB="0" distL="0" distR="0">
            <wp:extent cx="4619625" cy="2428875"/>
            <wp:effectExtent l="0" t="0" r="952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2428875"/>
                    </a:xfrm>
                    <a:prstGeom prst="rect">
                      <a:avLst/>
                    </a:prstGeom>
                    <a:noFill/>
                    <a:ln>
                      <a:noFill/>
                    </a:ln>
                  </pic:spPr>
                </pic:pic>
              </a:graphicData>
            </a:graphic>
          </wp:inline>
        </w:drawing>
      </w:r>
    </w:p>
    <w:p w:rsidR="001D71AD" w:rsidRPr="00983805" w:rsidRDefault="001D71AD" w:rsidP="00A5345D">
      <w:pPr>
        <w:ind w:left="1080" w:right="720"/>
        <w:jc w:val="both"/>
        <w:rPr>
          <w:lang w:val="fr-FR"/>
        </w:rPr>
      </w:pPr>
      <w:r>
        <w:rPr>
          <w:lang w:val="en-US"/>
        </w:rPr>
        <w:tab/>
      </w:r>
      <w:r>
        <w:rPr>
          <w:lang w:val="en-US"/>
        </w:rPr>
        <w:tab/>
      </w:r>
      <w:r>
        <w:rPr>
          <w:lang w:val="en-US"/>
        </w:rPr>
        <w:tab/>
      </w:r>
      <w:r w:rsidRPr="00983805">
        <w:rPr>
          <w:lang w:val="fr-FR"/>
        </w:rPr>
        <w:t>51,5 %  47,6 %              51,4 %  48,6 %                 45,2 % 54,8 %</w:t>
      </w:r>
    </w:p>
    <w:p w:rsidR="001D71AD" w:rsidRPr="008C19CF" w:rsidRDefault="001D71AD" w:rsidP="00600188">
      <w:pPr>
        <w:keepNext/>
        <w:ind w:left="1080" w:right="720"/>
        <w:jc w:val="both"/>
        <w:rPr>
          <w:sz w:val="18"/>
          <w:szCs w:val="18"/>
          <w:lang w:val="fr-FR"/>
        </w:rPr>
      </w:pPr>
      <w:r>
        <w:rPr>
          <w:sz w:val="18"/>
          <w:szCs w:val="18"/>
          <w:lang w:val="fr-FR"/>
        </w:rPr>
        <w:t xml:space="preserve">Ancien pourcentage SAR  Nouveau pourcentage SAR (2014/15)   Nouveau pourcentage SAR (2016/17)  </w:t>
      </w:r>
    </w:p>
    <w:p w:rsidR="001D71AD" w:rsidRPr="00600188" w:rsidRDefault="001D71AD" w:rsidP="00A5345D">
      <w:pPr>
        <w:ind w:left="1080" w:right="720"/>
        <w:jc w:val="both"/>
        <w:rPr>
          <w:lang w:val="fr-FR"/>
        </w:rPr>
      </w:pPr>
      <w:r>
        <w:rPr>
          <w:lang w:val="fr-FR"/>
        </w:rPr>
        <w:t xml:space="preserve">                      Pays les moins avancés                              Non moins avancés</w:t>
      </w:r>
    </w:p>
    <w:p w:rsidR="001D71AD" w:rsidRPr="00600188" w:rsidRDefault="001D71AD" w:rsidP="00600188">
      <w:pPr>
        <w:pStyle w:val="Heading3"/>
        <w:numPr>
          <w:ilvl w:val="0"/>
          <w:numId w:val="0"/>
        </w:numPr>
        <w:ind w:left="1440"/>
      </w:pPr>
    </w:p>
    <w:p w:rsidR="001D71AD" w:rsidRPr="00445095" w:rsidRDefault="001D71AD" w:rsidP="00BB13A1">
      <w:pPr>
        <w:pStyle w:val="Heading3"/>
        <w:numPr>
          <w:ilvl w:val="0"/>
          <w:numId w:val="9"/>
        </w:numPr>
        <w:ind w:left="1800"/>
      </w:pPr>
      <w:r w:rsidRPr="00600188">
        <w:rPr>
          <w:lang w:val="fr-FR"/>
        </w:rPr>
        <w:t>Fixer les chiffres définitifs de planification de pays</w:t>
      </w:r>
    </w:p>
    <w:p w:rsidR="001D71AD" w:rsidRPr="00983805" w:rsidRDefault="001D71AD" w:rsidP="00BB13A1">
      <w:pPr>
        <w:numPr>
          <w:ilvl w:val="0"/>
          <w:numId w:val="4"/>
        </w:numPr>
        <w:ind w:left="1080" w:right="720" w:firstLine="0"/>
        <w:jc w:val="both"/>
        <w:rPr>
          <w:lang w:val="fr-FR"/>
        </w:rPr>
      </w:pPr>
      <w:r w:rsidRPr="00600188">
        <w:rPr>
          <w:lang w:val="fr-FR"/>
        </w:rPr>
        <w:t>Les chiffres de planification définitifs pour chaque pays ne sont pas fi</w:t>
      </w:r>
      <w:r>
        <w:rPr>
          <w:lang w:val="fr-FR"/>
        </w:rPr>
        <w:t>xés</w:t>
      </w:r>
      <w:r w:rsidRPr="00600188">
        <w:rPr>
          <w:lang w:val="fr-FR"/>
        </w:rPr>
        <w:t xml:space="preserve"> dans le SAR. </w:t>
      </w:r>
      <w:r w:rsidRPr="0055127A">
        <w:rPr>
          <w:lang w:val="fr-FR"/>
        </w:rPr>
        <w:t>Ils sont approuvés individuellement par le Conseil d</w:t>
      </w:r>
      <w:r>
        <w:rPr>
          <w:lang w:val="fr-FR"/>
        </w:rPr>
        <w:t xml:space="preserve">’administration dans les documents de programme du pays. Les chiffres de planification pour les documents de programme de pays sont élaborés en se fondant sur un système de répartition de ressources flexible qui prend en compte les besoins et les priorités locaux, y compris ceux manifestés dans le cadre d’assistance au développement des Nations Unies. </w:t>
      </w:r>
    </w:p>
    <w:p w:rsidR="001D71AD" w:rsidRPr="00983805" w:rsidRDefault="001D71AD" w:rsidP="005437CC">
      <w:pPr>
        <w:ind w:left="1080" w:right="720"/>
        <w:jc w:val="both"/>
        <w:rPr>
          <w:lang w:val="fr-FR"/>
        </w:rPr>
      </w:pPr>
    </w:p>
    <w:p w:rsidR="001D71AD" w:rsidRPr="00983805" w:rsidRDefault="001D71AD" w:rsidP="00A5345D">
      <w:pPr>
        <w:ind w:left="1080" w:right="720"/>
        <w:jc w:val="both"/>
        <w:rPr>
          <w:lang w:val="fr-FR"/>
        </w:rPr>
      </w:pPr>
    </w:p>
    <w:p w:rsidR="001D71AD" w:rsidRPr="009B093E" w:rsidRDefault="001D71AD" w:rsidP="00BB13A1">
      <w:pPr>
        <w:pStyle w:val="Heading1"/>
        <w:numPr>
          <w:ilvl w:val="0"/>
          <w:numId w:val="5"/>
        </w:numPr>
        <w:rPr>
          <w:lang w:val="fr-FR"/>
        </w:rPr>
      </w:pPr>
      <w:r>
        <w:br w:type="page"/>
      </w:r>
      <w:bookmarkStart w:id="13" w:name="_Toc363918453"/>
      <w:r w:rsidRPr="009B093E">
        <w:rPr>
          <w:lang w:val="fr-FR"/>
        </w:rPr>
        <w:lastRenderedPageBreak/>
        <w:t>Autres mécanismes pour l’attribution de ressources programmatiques</w:t>
      </w:r>
      <w:bookmarkEnd w:id="13"/>
    </w:p>
    <w:p w:rsidR="001D71AD" w:rsidRPr="00AC6709" w:rsidRDefault="001D71AD" w:rsidP="00AC6709">
      <w:pPr>
        <w:ind w:left="1080" w:right="720"/>
        <w:jc w:val="both"/>
        <w:rPr>
          <w:lang w:val="fr-FR"/>
        </w:rPr>
      </w:pPr>
    </w:p>
    <w:p w:rsidR="001D71AD" w:rsidRPr="0041418B" w:rsidRDefault="001D71AD" w:rsidP="00BB13A1">
      <w:pPr>
        <w:numPr>
          <w:ilvl w:val="0"/>
          <w:numId w:val="4"/>
        </w:numPr>
        <w:ind w:left="1080" w:right="720" w:firstLine="0"/>
        <w:jc w:val="both"/>
        <w:rPr>
          <w:lang w:val="fr-FR"/>
        </w:rPr>
      </w:pPr>
      <w:r w:rsidRPr="00F45948">
        <w:rPr>
          <w:lang w:val="fr-FR"/>
        </w:rPr>
        <w:t xml:space="preserve">La </w:t>
      </w:r>
      <w:r>
        <w:rPr>
          <w:lang w:val="fr-FR"/>
        </w:rPr>
        <w:t>ré</w:t>
      </w:r>
      <w:r w:rsidRPr="00F45948">
        <w:rPr>
          <w:lang w:val="fr-FR"/>
        </w:rPr>
        <w:t xml:space="preserve">vision du SAR résoudra un grand nombre des problèmes décrits ci-dessus. </w:t>
      </w:r>
      <w:r w:rsidRPr="0041418B">
        <w:rPr>
          <w:lang w:val="fr-FR"/>
        </w:rPr>
        <w:t>Cependant, pour r</w:t>
      </w:r>
      <w:r>
        <w:rPr>
          <w:lang w:val="fr-FR"/>
        </w:rPr>
        <w:t xml:space="preserve">emédier </w:t>
      </w:r>
      <w:r w:rsidRPr="0041418B">
        <w:rPr>
          <w:lang w:val="fr-FR"/>
        </w:rPr>
        <w:t xml:space="preserve">totalement aux principaux </w:t>
      </w:r>
      <w:r>
        <w:rPr>
          <w:lang w:val="fr-FR"/>
        </w:rPr>
        <w:t xml:space="preserve">problèmes indiqués ci-dessus, il faut plusieurs autres éléments. </w:t>
      </w:r>
    </w:p>
    <w:p w:rsidR="001D71AD" w:rsidRPr="0041418B" w:rsidRDefault="001D71AD" w:rsidP="00A5345D">
      <w:pPr>
        <w:ind w:left="1080" w:right="720"/>
        <w:jc w:val="both"/>
        <w:rPr>
          <w:lang w:val="fr-FR"/>
        </w:rPr>
      </w:pPr>
    </w:p>
    <w:p w:rsidR="001D71AD" w:rsidRDefault="001D71AD" w:rsidP="00BB13A1">
      <w:pPr>
        <w:pStyle w:val="Heading2"/>
        <w:numPr>
          <w:ilvl w:val="0"/>
          <w:numId w:val="16"/>
        </w:numPr>
        <w:ind w:left="1080" w:right="720" w:hanging="720"/>
        <w:jc w:val="both"/>
      </w:pPr>
      <w:bookmarkStart w:id="14" w:name="_Toc363918454"/>
      <w:r w:rsidRPr="0041418B">
        <w:t>Fonds d</w:t>
      </w:r>
      <w:r>
        <w:t>e secours</w:t>
      </w:r>
      <w:bookmarkEnd w:id="14"/>
    </w:p>
    <w:p w:rsidR="001D71AD" w:rsidRPr="0041418B" w:rsidRDefault="001D71AD" w:rsidP="0041418B">
      <w:pPr>
        <w:rPr>
          <w:lang w:val="en-US"/>
        </w:rPr>
      </w:pPr>
    </w:p>
    <w:p w:rsidR="001D71AD" w:rsidRPr="00AC6709" w:rsidRDefault="001D71AD" w:rsidP="00BB13A1">
      <w:pPr>
        <w:pStyle w:val="Heading2"/>
        <w:numPr>
          <w:ilvl w:val="0"/>
          <w:numId w:val="4"/>
        </w:numPr>
        <w:ind w:left="1080" w:firstLine="0"/>
        <w:rPr>
          <w:lang w:val="fr-FR"/>
        </w:rPr>
      </w:pPr>
      <w:r w:rsidRPr="00AC6709">
        <w:rPr>
          <w:b w:val="0"/>
          <w:sz w:val="20"/>
          <w:lang w:val="fr-FR"/>
        </w:rPr>
        <w:t>Le Conseil d’administration a établi, en 2000, un « Fonds de secours » pour financer le travail de l’UNFPA dans les cadres humanitaires.La dotation annuelle du Fonds, initialement établie à 1 million $, a été augmentée à 3 millions $ en 2006. Le Fonds fournit chaque année des ressources aux pays confrontés à des crises en se fondant sur les critères suivants</w:t>
      </w:r>
      <w:r w:rsidRPr="00AC6709">
        <w:rPr>
          <w:lang w:val="fr-FR"/>
        </w:rPr>
        <w:t xml:space="preserve"> : </w:t>
      </w:r>
    </w:p>
    <w:p w:rsidR="001D71AD" w:rsidRPr="00745763" w:rsidRDefault="001D71AD" w:rsidP="00BB13A1">
      <w:pPr>
        <w:numPr>
          <w:ilvl w:val="0"/>
          <w:numId w:val="17"/>
        </w:numPr>
        <w:ind w:right="720"/>
        <w:jc w:val="both"/>
        <w:rPr>
          <w:lang w:val="fr-FR"/>
        </w:rPr>
      </w:pPr>
      <w:r>
        <w:rPr>
          <w:lang w:val="fr-FR"/>
        </w:rPr>
        <w:t xml:space="preserve">Le </w:t>
      </w:r>
      <w:r w:rsidRPr="00745763">
        <w:rPr>
          <w:lang w:val="fr-FR"/>
        </w:rPr>
        <w:t>programme de base du pays</w:t>
      </w:r>
      <w:r>
        <w:rPr>
          <w:lang w:val="fr-FR"/>
        </w:rPr>
        <w:t xml:space="preserve"> ne dispose pas de fonds </w:t>
      </w:r>
      <w:r w:rsidRPr="00745763">
        <w:rPr>
          <w:lang w:val="fr-FR"/>
        </w:rPr>
        <w:t>;</w:t>
      </w:r>
    </w:p>
    <w:p w:rsidR="001D71AD" w:rsidRPr="00745763" w:rsidRDefault="001D71AD" w:rsidP="00BB13A1">
      <w:pPr>
        <w:numPr>
          <w:ilvl w:val="0"/>
          <w:numId w:val="17"/>
        </w:numPr>
        <w:ind w:right="720"/>
        <w:jc w:val="both"/>
        <w:rPr>
          <w:lang w:val="fr-FR"/>
        </w:rPr>
      </w:pPr>
      <w:r w:rsidRPr="00745763">
        <w:rPr>
          <w:lang w:val="fr-FR"/>
        </w:rPr>
        <w:t>Des fonds du programme de pays ne sont pas immédiatement disponibles mais pourraient être utilis</w:t>
      </w:r>
      <w:r>
        <w:rPr>
          <w:lang w:val="fr-FR"/>
        </w:rPr>
        <w:t xml:space="preserve">és ultérieurement pour remboursement avec l’agrément du gouvernement </w:t>
      </w:r>
      <w:r w:rsidRPr="00745763">
        <w:rPr>
          <w:lang w:val="fr-FR"/>
        </w:rPr>
        <w:t>;</w:t>
      </w:r>
    </w:p>
    <w:p w:rsidR="001D71AD" w:rsidRPr="003B5196" w:rsidRDefault="001D71AD" w:rsidP="00BB13A1">
      <w:pPr>
        <w:numPr>
          <w:ilvl w:val="0"/>
          <w:numId w:val="17"/>
        </w:numPr>
        <w:ind w:right="720"/>
        <w:jc w:val="both"/>
        <w:rPr>
          <w:lang w:val="fr-FR"/>
        </w:rPr>
      </w:pPr>
      <w:r>
        <w:rPr>
          <w:lang w:val="fr-FR"/>
        </w:rPr>
        <w:t>L’a</w:t>
      </w:r>
      <w:r w:rsidRPr="003B5196">
        <w:rPr>
          <w:lang w:val="fr-FR"/>
        </w:rPr>
        <w:t>ppui des donateurs pour la composante UNFPA d’un processus d’appel consolidé o</w:t>
      </w:r>
      <w:r>
        <w:rPr>
          <w:lang w:val="fr-FR"/>
        </w:rPr>
        <w:t>u</w:t>
      </w:r>
      <w:r w:rsidRPr="003B5196">
        <w:rPr>
          <w:lang w:val="fr-FR"/>
        </w:rPr>
        <w:t xml:space="preserve"> Appel éclair a été engag</w:t>
      </w:r>
      <w:r>
        <w:rPr>
          <w:lang w:val="fr-FR"/>
        </w:rPr>
        <w:t>é mais les fonds ne sont pas encore versés</w:t>
      </w:r>
      <w:r w:rsidRPr="003B5196">
        <w:rPr>
          <w:lang w:val="fr-FR"/>
        </w:rPr>
        <w:t>.</w:t>
      </w:r>
    </w:p>
    <w:p w:rsidR="001D71AD" w:rsidRPr="003B5196" w:rsidRDefault="001D71AD" w:rsidP="005C2150">
      <w:pPr>
        <w:ind w:left="1080" w:right="720"/>
        <w:jc w:val="both"/>
        <w:rPr>
          <w:lang w:val="fr-FR"/>
        </w:rPr>
      </w:pPr>
    </w:p>
    <w:p w:rsidR="001D71AD" w:rsidRPr="00AC6709" w:rsidRDefault="001D71AD" w:rsidP="00BB13A1">
      <w:pPr>
        <w:pStyle w:val="Heading2"/>
        <w:numPr>
          <w:ilvl w:val="0"/>
          <w:numId w:val="4"/>
        </w:numPr>
        <w:ind w:left="1080" w:firstLine="0"/>
        <w:rPr>
          <w:b w:val="0"/>
          <w:sz w:val="20"/>
          <w:lang w:val="fr-FR"/>
        </w:rPr>
      </w:pPr>
      <w:r w:rsidRPr="00AC6709">
        <w:rPr>
          <w:b w:val="0"/>
          <w:sz w:val="20"/>
          <w:lang w:val="fr-FR"/>
        </w:rPr>
        <w:t xml:space="preserve">En 2012, 16 pays, dont 13 souffraient d’inondations ou d’un conflit, ont reçu l’appui du Fonds de secours.Le financement est essentiellement destiné aux </w:t>
      </w:r>
      <w:r>
        <w:rPr>
          <w:b w:val="0"/>
          <w:sz w:val="20"/>
          <w:lang w:val="fr-FR"/>
        </w:rPr>
        <w:t>problèmes</w:t>
      </w:r>
      <w:r w:rsidRPr="00AC6709">
        <w:rPr>
          <w:b w:val="0"/>
          <w:sz w:val="20"/>
          <w:lang w:val="fr-FR"/>
        </w:rPr>
        <w:t xml:space="preserve"> de santé sexuelle et reproductive et à remédier à la violence sexiste, l’article le plus conséquent étant la </w:t>
      </w:r>
      <w:r>
        <w:rPr>
          <w:b w:val="0"/>
          <w:sz w:val="20"/>
          <w:lang w:val="fr-FR"/>
        </w:rPr>
        <w:t xml:space="preserve">prestation </w:t>
      </w:r>
      <w:r w:rsidRPr="00AC6709">
        <w:rPr>
          <w:b w:val="0"/>
          <w:sz w:val="20"/>
          <w:lang w:val="fr-FR"/>
        </w:rPr>
        <w:t xml:space="preserve">de kits de santé reproductive d’urgence servant à procurer des services aux femmes et aux filles qui n’auraient pas autrement accès à ces soins critiques en raison de ces crises humanitaires. </w:t>
      </w:r>
    </w:p>
    <w:p w:rsidR="001D71AD" w:rsidRPr="00AC6709" w:rsidRDefault="001D71AD" w:rsidP="006F33F4">
      <w:pPr>
        <w:pStyle w:val="Heading2"/>
        <w:numPr>
          <w:ilvl w:val="0"/>
          <w:numId w:val="0"/>
        </w:numPr>
        <w:ind w:left="1080"/>
        <w:rPr>
          <w:b w:val="0"/>
          <w:sz w:val="20"/>
          <w:lang w:val="fr-FR"/>
        </w:rPr>
      </w:pPr>
    </w:p>
    <w:p w:rsidR="001D71AD" w:rsidRPr="00AC6709" w:rsidRDefault="001D71AD" w:rsidP="00BB13A1">
      <w:pPr>
        <w:pStyle w:val="Heading2"/>
        <w:numPr>
          <w:ilvl w:val="0"/>
          <w:numId w:val="4"/>
        </w:numPr>
        <w:ind w:left="1080" w:firstLine="0"/>
        <w:rPr>
          <w:b w:val="0"/>
          <w:sz w:val="20"/>
          <w:lang w:val="fr-FR"/>
        </w:rPr>
      </w:pPr>
      <w:r w:rsidRPr="00AC6709">
        <w:rPr>
          <w:b w:val="0"/>
          <w:sz w:val="20"/>
          <w:lang w:val="fr-FR"/>
        </w:rPr>
        <w:t xml:space="preserve">Bien que les montants déboursés à partir du Fonds de secours ne soient pas conséquents, ce dernier joue néanmoins un rôle important en raison de la vitesse à laquelle les fonds peuvent être débloqués : en 2012, le temps moyen entre la remise d’une demande de bénéficier du Fonds d’urgence </w:t>
      </w:r>
      <w:r>
        <w:rPr>
          <w:b w:val="0"/>
          <w:sz w:val="20"/>
          <w:lang w:val="fr-FR"/>
        </w:rPr>
        <w:t>et</w:t>
      </w:r>
      <w:r w:rsidRPr="00AC6709">
        <w:rPr>
          <w:b w:val="0"/>
          <w:sz w:val="20"/>
          <w:lang w:val="fr-FR"/>
        </w:rPr>
        <w:t xml:space="preserve"> une réponse était 1 jour, par rapport à 3 en 2010. Cela permet d’utiliser les ressources comme catalyseur ainsi que comme fonds de transition pendant que d’autres fonds sont mobilisés. </w:t>
      </w:r>
    </w:p>
    <w:p w:rsidR="001D71AD" w:rsidRPr="00AC6709" w:rsidRDefault="001D71AD" w:rsidP="006F33F4">
      <w:pPr>
        <w:pStyle w:val="Heading2"/>
        <w:numPr>
          <w:ilvl w:val="0"/>
          <w:numId w:val="0"/>
        </w:numPr>
        <w:ind w:left="1080"/>
        <w:rPr>
          <w:b w:val="0"/>
          <w:sz w:val="20"/>
          <w:lang w:val="fr-FR"/>
        </w:rPr>
      </w:pPr>
    </w:p>
    <w:p w:rsidR="001D71AD" w:rsidRPr="00AC6709" w:rsidRDefault="001D71AD" w:rsidP="00BB13A1">
      <w:pPr>
        <w:pStyle w:val="Heading2"/>
        <w:numPr>
          <w:ilvl w:val="0"/>
          <w:numId w:val="4"/>
        </w:numPr>
        <w:ind w:left="1080" w:firstLine="0"/>
        <w:rPr>
          <w:b w:val="0"/>
          <w:sz w:val="20"/>
          <w:lang w:val="fr-FR"/>
        </w:rPr>
      </w:pPr>
      <w:r w:rsidRPr="00AC6709">
        <w:rPr>
          <w:b w:val="0"/>
          <w:sz w:val="20"/>
          <w:lang w:val="fr-FR"/>
        </w:rPr>
        <w:t>Les demandes de particip</w:t>
      </w:r>
      <w:r>
        <w:rPr>
          <w:b w:val="0"/>
          <w:sz w:val="20"/>
          <w:lang w:val="fr-FR"/>
        </w:rPr>
        <w:t>ation</w:t>
      </w:r>
      <w:r w:rsidRPr="00AC6709">
        <w:rPr>
          <w:b w:val="0"/>
          <w:sz w:val="20"/>
          <w:lang w:val="fr-FR"/>
        </w:rPr>
        <w:t xml:space="preserve"> au cadre humanitaire formulées auprès de l’UNFPA se sont multipli</w:t>
      </w:r>
      <w:r>
        <w:rPr>
          <w:b w:val="0"/>
          <w:sz w:val="20"/>
          <w:lang w:val="fr-FR"/>
        </w:rPr>
        <w:t>é</w:t>
      </w:r>
      <w:r w:rsidRPr="00AC6709">
        <w:rPr>
          <w:b w:val="0"/>
          <w:sz w:val="20"/>
          <w:lang w:val="fr-FR"/>
        </w:rPr>
        <w:t xml:space="preserve">es au fil du temps mais le Fonds de secours est resté plafonné à 3 millions $ depuis 2006.  Une augmentation à 5 millions $, beaucoup plus modeste que celle du fonds équivalent à l’UNICEF, permettra à l’UNFPA de répondre d’une manière plus robuste aux crises humanitaires et de satisfaire aux besoins de populations les plus désavantagées et les plus nécessiteuses. </w:t>
      </w:r>
    </w:p>
    <w:p w:rsidR="001D71AD" w:rsidRPr="00AC6709" w:rsidRDefault="001D71AD" w:rsidP="006F33F4">
      <w:pPr>
        <w:pStyle w:val="Heading2"/>
        <w:numPr>
          <w:ilvl w:val="0"/>
          <w:numId w:val="0"/>
        </w:numPr>
        <w:ind w:left="1080"/>
        <w:rPr>
          <w:b w:val="0"/>
          <w:sz w:val="20"/>
          <w:lang w:val="fr-FR"/>
        </w:rPr>
      </w:pPr>
    </w:p>
    <w:p w:rsidR="001D71AD" w:rsidRPr="00AC6709" w:rsidRDefault="001D71AD" w:rsidP="006F33F4">
      <w:pPr>
        <w:pStyle w:val="Heading2"/>
        <w:numPr>
          <w:ilvl w:val="0"/>
          <w:numId w:val="0"/>
        </w:numPr>
        <w:ind w:left="1080"/>
        <w:rPr>
          <w:b w:val="0"/>
          <w:sz w:val="20"/>
          <w:lang w:val="fr-FR"/>
        </w:rPr>
      </w:pPr>
    </w:p>
    <w:p w:rsidR="001D71AD" w:rsidRDefault="001D71AD" w:rsidP="00BB13A1">
      <w:pPr>
        <w:pStyle w:val="Heading2"/>
        <w:numPr>
          <w:ilvl w:val="0"/>
          <w:numId w:val="16"/>
        </w:numPr>
        <w:rPr>
          <w:lang w:val="fr-CA"/>
        </w:rPr>
      </w:pPr>
      <w:bookmarkStart w:id="15" w:name="_Toc363918455"/>
      <w:r w:rsidRPr="00AE3D84">
        <w:rPr>
          <w:lang w:val="fr-CA"/>
        </w:rPr>
        <w:t>Fonds Opportunités</w:t>
      </w:r>
      <w:bookmarkEnd w:id="15"/>
    </w:p>
    <w:p w:rsidR="001D71AD" w:rsidRPr="006F33F4" w:rsidRDefault="001D71AD" w:rsidP="006F33F4">
      <w:pPr>
        <w:rPr>
          <w:lang w:val="fr-CA"/>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lastRenderedPageBreak/>
        <w:t>Le deuxième mécanisme complémentaire est le Fo</w:t>
      </w:r>
      <w:r>
        <w:rPr>
          <w:b w:val="0"/>
          <w:sz w:val="20"/>
          <w:lang w:val="fr-FR"/>
        </w:rPr>
        <w:t xml:space="preserve">nds Opportunités, </w:t>
      </w:r>
      <w:r w:rsidRPr="006F33F4">
        <w:rPr>
          <w:b w:val="0"/>
          <w:sz w:val="20"/>
          <w:lang w:val="fr-FR"/>
        </w:rPr>
        <w:t xml:space="preserve">établi pour renforcer les réalisations de l’organisation en soutenant de nouvelles approches novatrices. Plusieurs facteurs en sont à l’origine. D’abord et avant tout, les progrès sur l’Objectif du Millénaire pour le développement 5 </w:t>
      </w:r>
      <w:r>
        <w:rPr>
          <w:b w:val="0"/>
          <w:sz w:val="20"/>
          <w:lang w:val="fr-FR"/>
        </w:rPr>
        <w:t>sont plus lents que ceux réalisés sur</w:t>
      </w:r>
      <w:r w:rsidRPr="006F33F4">
        <w:rPr>
          <w:b w:val="0"/>
          <w:sz w:val="20"/>
          <w:lang w:val="fr-FR"/>
        </w:rPr>
        <w:t xml:space="preserve"> d’autres OMD, l’une des raisons étant que la communauté internationale n’a pas encore identifié d’interventions d’une efficacité optimale (et économiques) pour améliorer la santé maternelle.C’est particulièrement le cas lorsqu’il s’agit de toucher les adolescents (particulièrement les filles jeunes), les populations vulnérables et marginalisées comme les peuples indigènes, les minorités ethniques, les migrants, les travailleurs du sexe, les personnes vivant avec le VIH et les handicapés. </w:t>
      </w:r>
    </w:p>
    <w:p w:rsidR="001D71AD" w:rsidRDefault="001D71AD" w:rsidP="00451CBB">
      <w:pPr>
        <w:pStyle w:val="Heading2"/>
        <w:numPr>
          <w:ilvl w:val="0"/>
          <w:numId w:val="0"/>
        </w:numPr>
        <w:ind w:left="1080"/>
        <w:rPr>
          <w:b w:val="0"/>
          <w:sz w:val="20"/>
          <w:lang w:val="fr-FR"/>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t xml:space="preserve">Deuxièmement, l’UNFPA œuvre dans un environnement aux ressources limitées qui contraint l’organisation de démontrer qu’elle montre la voie de l’innovation dans la réalisation de son mandat.Les rapides changements sociaux et technologiques actuels donnent l’occasion de </w:t>
      </w:r>
      <w:r>
        <w:rPr>
          <w:b w:val="0"/>
          <w:sz w:val="20"/>
          <w:lang w:val="fr-FR"/>
        </w:rPr>
        <w:t>l</w:t>
      </w:r>
      <w:r w:rsidRPr="006F33F4">
        <w:rPr>
          <w:b w:val="0"/>
          <w:sz w:val="20"/>
          <w:lang w:val="fr-FR"/>
        </w:rPr>
        <w:t>e faire mais l’organisation doit disposer d’une culture et de systèmes favorisant l’innovation.</w:t>
      </w:r>
    </w:p>
    <w:p w:rsidR="001D71AD" w:rsidRPr="006F33F4" w:rsidRDefault="001D71AD" w:rsidP="00451CBB">
      <w:pPr>
        <w:pStyle w:val="Heading2"/>
        <w:numPr>
          <w:ilvl w:val="0"/>
          <w:numId w:val="0"/>
        </w:numPr>
        <w:ind w:left="1080"/>
        <w:rPr>
          <w:b w:val="0"/>
          <w:sz w:val="20"/>
          <w:lang w:val="fr-FR"/>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t>Troisièmement, l’organisation n’a jamais suffisamment investi dans l’innovation. Par comparaison, l’UNICEF a investi de</w:t>
      </w:r>
      <w:r>
        <w:rPr>
          <w:b w:val="0"/>
          <w:sz w:val="20"/>
          <w:lang w:val="fr-FR"/>
        </w:rPr>
        <w:t>s</w:t>
      </w:r>
      <w:r w:rsidRPr="006F33F4">
        <w:rPr>
          <w:b w:val="0"/>
          <w:sz w:val="20"/>
          <w:lang w:val="fr-FR"/>
        </w:rPr>
        <w:t xml:space="preserve"> ressources considérables dans ce domaine</w:t>
      </w:r>
      <w:r>
        <w:rPr>
          <w:b w:val="0"/>
          <w:sz w:val="20"/>
          <w:lang w:val="fr-FR"/>
        </w:rPr>
        <w:t>. Des</w:t>
      </w:r>
      <w:r w:rsidRPr="006F33F4">
        <w:rPr>
          <w:b w:val="0"/>
          <w:sz w:val="20"/>
          <w:lang w:val="fr-FR"/>
        </w:rPr>
        <w:t xml:space="preserve"> membres de son personnel </w:t>
      </w:r>
      <w:r>
        <w:rPr>
          <w:b w:val="0"/>
          <w:sz w:val="20"/>
          <w:lang w:val="fr-FR"/>
        </w:rPr>
        <w:t xml:space="preserve">sont </w:t>
      </w:r>
      <w:r w:rsidRPr="006F33F4">
        <w:rPr>
          <w:b w:val="0"/>
          <w:sz w:val="20"/>
          <w:lang w:val="fr-FR"/>
        </w:rPr>
        <w:t>spécialement chargés d’innover et</w:t>
      </w:r>
      <w:r>
        <w:rPr>
          <w:b w:val="0"/>
          <w:sz w:val="20"/>
          <w:lang w:val="fr-FR"/>
        </w:rPr>
        <w:t xml:space="preserve"> il dispose d’</w:t>
      </w:r>
      <w:r w:rsidRPr="006F33F4">
        <w:rPr>
          <w:b w:val="0"/>
          <w:sz w:val="20"/>
          <w:lang w:val="fr-FR"/>
        </w:rPr>
        <w:t xml:space="preserve">un portefeuille croissant de projets (par ex., voir </w:t>
      </w:r>
      <w:hyperlink r:id="rId20" w:history="1">
        <w:r w:rsidRPr="006F33F4">
          <w:rPr>
            <w:b w:val="0"/>
            <w:sz w:val="20"/>
          </w:rPr>
          <w:t>http://unicefinnovation.org/</w:t>
        </w:r>
      </w:hyperlink>
      <w:r w:rsidRPr="006F33F4">
        <w:rPr>
          <w:b w:val="0"/>
          <w:sz w:val="20"/>
          <w:lang w:val="fr-FR"/>
        </w:rPr>
        <w:t xml:space="preserve"> and </w:t>
      </w:r>
      <w:hyperlink r:id="rId21" w:history="1">
        <w:r w:rsidRPr="006F33F4">
          <w:rPr>
            <w:b w:val="0"/>
            <w:sz w:val="20"/>
          </w:rPr>
          <w:t>http://unicefstories.org/</w:t>
        </w:r>
      </w:hyperlink>
      <w:r w:rsidRPr="006F33F4">
        <w:rPr>
          <w:b w:val="0"/>
          <w:sz w:val="20"/>
          <w:lang w:val="fr-FR"/>
        </w:rPr>
        <w:t xml:space="preserve"> for en savoir plus).</w:t>
      </w:r>
    </w:p>
    <w:p w:rsidR="001D71AD" w:rsidRPr="006F33F4" w:rsidRDefault="001D71AD" w:rsidP="00451CBB">
      <w:pPr>
        <w:pStyle w:val="Heading2"/>
        <w:numPr>
          <w:ilvl w:val="0"/>
          <w:numId w:val="0"/>
        </w:numPr>
        <w:ind w:left="1080"/>
        <w:rPr>
          <w:b w:val="0"/>
          <w:sz w:val="20"/>
          <w:lang w:val="fr-FR"/>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t>Le Fonds Opportunités sera un nouvel instrument doté de deux objectifs distincts mais interdépendants qui remédient à ces problèmes. Il servira à la fois de mécanisme de financement et de moyen de renforcer la culture de l’innovation dans l’UNFPA.</w:t>
      </w:r>
    </w:p>
    <w:p w:rsidR="001D71AD" w:rsidRPr="006F33F4" w:rsidRDefault="001D71AD" w:rsidP="00EA7C6C">
      <w:pPr>
        <w:pStyle w:val="Heading2"/>
        <w:numPr>
          <w:ilvl w:val="0"/>
          <w:numId w:val="0"/>
        </w:numPr>
        <w:ind w:left="1080"/>
        <w:rPr>
          <w:b w:val="0"/>
          <w:sz w:val="20"/>
          <w:lang w:val="fr-FR"/>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t>En tant que mécanisme de financement, le Fonds Opportunités favorisera à la fois les innovations (que ce soit dans les domaines des produits, des processus, des partenariats ou de la programmation) et les nouvelles opportunités (celles relatives par exemple à une nouvelle initiative mondiale ou pour les pays qui découvrent des occasions de faire progresser l’agenda de la CIPD mais n’ont pas de ressources suffisantes pour passer à la réalisation). L’attribution de ressources à ces objectifs sera fondée sur des critères transparents qui seront fixés avant la fin de 2013.</w:t>
      </w:r>
    </w:p>
    <w:p w:rsidR="001D71AD" w:rsidRPr="006F33F4" w:rsidRDefault="001D71AD" w:rsidP="00EA7C6C">
      <w:pPr>
        <w:pStyle w:val="Heading2"/>
        <w:numPr>
          <w:ilvl w:val="0"/>
          <w:numId w:val="0"/>
        </w:numPr>
        <w:ind w:left="1080"/>
        <w:rPr>
          <w:b w:val="0"/>
          <w:sz w:val="20"/>
          <w:lang w:val="fr-FR"/>
        </w:rPr>
      </w:pPr>
    </w:p>
    <w:p w:rsidR="001D71AD" w:rsidRPr="006F33F4" w:rsidRDefault="001D71AD" w:rsidP="00BB13A1">
      <w:pPr>
        <w:pStyle w:val="Heading2"/>
        <w:numPr>
          <w:ilvl w:val="0"/>
          <w:numId w:val="4"/>
        </w:numPr>
        <w:ind w:left="1080" w:firstLine="0"/>
        <w:rPr>
          <w:b w:val="0"/>
          <w:sz w:val="20"/>
          <w:lang w:val="fr-FR"/>
        </w:rPr>
      </w:pPr>
      <w:r w:rsidRPr="006F33F4">
        <w:rPr>
          <w:b w:val="0"/>
          <w:sz w:val="20"/>
          <w:lang w:val="fr-FR"/>
        </w:rPr>
        <w:t>Les ressources qui seront utilisées pour financer les initiatives pa</w:t>
      </w:r>
      <w:r>
        <w:rPr>
          <w:b w:val="0"/>
          <w:sz w:val="20"/>
          <w:lang w:val="fr-FR"/>
        </w:rPr>
        <w:t>r</w:t>
      </w:r>
      <w:r w:rsidRPr="006F33F4">
        <w:rPr>
          <w:b w:val="0"/>
          <w:sz w:val="20"/>
          <w:lang w:val="fr-FR"/>
        </w:rPr>
        <w:t xml:space="preserve"> l’intermédiaire du Fonds Opportunités proviendront des contributions autres que celles de base. </w:t>
      </w:r>
    </w:p>
    <w:p w:rsidR="001D71AD" w:rsidRPr="006F33F4" w:rsidRDefault="001D71AD" w:rsidP="00EA7C6C">
      <w:pPr>
        <w:pStyle w:val="Heading2"/>
        <w:numPr>
          <w:ilvl w:val="0"/>
          <w:numId w:val="0"/>
        </w:numPr>
        <w:ind w:left="1080"/>
        <w:rPr>
          <w:b w:val="0"/>
          <w:sz w:val="20"/>
          <w:lang w:val="fr-FR"/>
        </w:rPr>
      </w:pPr>
    </w:p>
    <w:p w:rsidR="001D71AD" w:rsidRPr="00EA7C6C" w:rsidRDefault="001D71AD" w:rsidP="00BB13A1">
      <w:pPr>
        <w:pStyle w:val="Heading2"/>
        <w:numPr>
          <w:ilvl w:val="0"/>
          <w:numId w:val="4"/>
        </w:numPr>
        <w:ind w:left="1080" w:firstLine="0"/>
        <w:rPr>
          <w:b w:val="0"/>
          <w:sz w:val="20"/>
          <w:lang w:val="fr-FR"/>
        </w:rPr>
      </w:pPr>
      <w:r w:rsidRPr="00EA7C6C">
        <w:rPr>
          <w:b w:val="0"/>
          <w:sz w:val="20"/>
          <w:lang w:val="fr-FR"/>
        </w:rPr>
        <w:t>Les mécanismes du Fonds Opportunités seront conçus pour permettre un maximum de participation du personnel de toute l’organisation à ses prises de décision</w:t>
      </w:r>
      <w:r>
        <w:rPr>
          <w:b w:val="0"/>
          <w:sz w:val="20"/>
          <w:lang w:val="fr-FR"/>
        </w:rPr>
        <w:t>s</w:t>
      </w:r>
      <w:r w:rsidRPr="00EA7C6C">
        <w:rPr>
          <w:b w:val="0"/>
          <w:sz w:val="20"/>
          <w:lang w:val="fr-FR"/>
        </w:rPr>
        <w:t xml:space="preserve"> de manière à renforcer la dimension changements culturels du Fonds. Un nombre d’autres organisations, y compris d’autres membres du Groupe de développement des Nations Unies, ont des mécanismes qui permettent des réponses souples aux opportunités nouvelles et des leçons seront tirées de ces derniers lors de l’établissement du Fonds d’opportunités. </w:t>
      </w:r>
    </w:p>
    <w:p w:rsidR="001D71AD" w:rsidRPr="00EA7C6C" w:rsidRDefault="001D71AD" w:rsidP="00EA7C6C">
      <w:pPr>
        <w:pStyle w:val="Heading2"/>
        <w:numPr>
          <w:ilvl w:val="0"/>
          <w:numId w:val="0"/>
        </w:numPr>
        <w:ind w:left="1080"/>
        <w:rPr>
          <w:b w:val="0"/>
          <w:sz w:val="20"/>
          <w:lang w:val="fr-FR"/>
        </w:rPr>
      </w:pPr>
    </w:p>
    <w:p w:rsidR="001D71AD" w:rsidRPr="00EA7C6C" w:rsidRDefault="001D71AD" w:rsidP="00BB13A1">
      <w:pPr>
        <w:pStyle w:val="Heading2"/>
        <w:numPr>
          <w:ilvl w:val="0"/>
          <w:numId w:val="4"/>
        </w:numPr>
        <w:ind w:left="1080" w:firstLine="0"/>
        <w:rPr>
          <w:b w:val="0"/>
          <w:sz w:val="20"/>
          <w:lang w:val="fr-FR"/>
        </w:rPr>
      </w:pPr>
      <w:r w:rsidRPr="00EA7C6C">
        <w:rPr>
          <w:b w:val="0"/>
          <w:sz w:val="20"/>
          <w:lang w:val="fr-FR"/>
        </w:rPr>
        <w:t xml:space="preserve">Il faudra impérativement </w:t>
      </w:r>
      <w:r>
        <w:rPr>
          <w:b w:val="0"/>
          <w:sz w:val="20"/>
          <w:lang w:val="fr-FR"/>
        </w:rPr>
        <w:t>faire en sorte</w:t>
      </w:r>
      <w:r w:rsidRPr="00EA7C6C">
        <w:rPr>
          <w:b w:val="0"/>
          <w:sz w:val="20"/>
          <w:lang w:val="fr-FR"/>
        </w:rPr>
        <w:t>, lors de l’établissement du Fonds Opportunités qu’il ne condui</w:t>
      </w:r>
      <w:r>
        <w:rPr>
          <w:b w:val="0"/>
          <w:sz w:val="20"/>
          <w:lang w:val="fr-FR"/>
        </w:rPr>
        <w:t>se</w:t>
      </w:r>
      <w:r w:rsidRPr="00EA7C6C">
        <w:rPr>
          <w:b w:val="0"/>
          <w:sz w:val="20"/>
          <w:lang w:val="fr-FR"/>
        </w:rPr>
        <w:t xml:space="preserve"> pas à fragmenter davantage encore l’architecture de financement de l’organisation qui est déjà un problème à l’heure actuelle.Pour éviter cet écueil, la gouvernance et la gestion du Fonds Opportunités et les rapports relatifs à ce dernier, seront intégrés aux structures actuelles.Des changements sont actu</w:t>
      </w:r>
      <w:r>
        <w:rPr>
          <w:b w:val="0"/>
          <w:sz w:val="20"/>
          <w:lang w:val="fr-FR"/>
        </w:rPr>
        <w:t>ellement effectués à la gestion</w:t>
      </w:r>
      <w:r w:rsidRPr="00EA7C6C">
        <w:rPr>
          <w:b w:val="0"/>
          <w:sz w:val="20"/>
          <w:lang w:val="fr-FR"/>
        </w:rPr>
        <w:t xml:space="preserve"> des ressources à l’UNFPA (notamment ce</w:t>
      </w:r>
      <w:r>
        <w:rPr>
          <w:b w:val="0"/>
          <w:sz w:val="20"/>
          <w:lang w:val="fr-FR"/>
        </w:rPr>
        <w:t>lles</w:t>
      </w:r>
      <w:r w:rsidRPr="00EA7C6C">
        <w:rPr>
          <w:b w:val="0"/>
          <w:sz w:val="20"/>
          <w:lang w:val="fr-FR"/>
        </w:rPr>
        <w:t xml:space="preserve"> associé</w:t>
      </w:r>
      <w:r>
        <w:rPr>
          <w:b w:val="0"/>
          <w:sz w:val="20"/>
          <w:lang w:val="fr-FR"/>
        </w:rPr>
        <w:t>e</w:t>
      </w:r>
      <w:r w:rsidRPr="00EA7C6C">
        <w:rPr>
          <w:b w:val="0"/>
          <w:sz w:val="20"/>
          <w:lang w:val="fr-FR"/>
        </w:rPr>
        <w:t xml:space="preserve">s à la programmation mondiale et régionale et aux fonds d'affectation spéciale thématiques) et donc, une décisionfinale concernant la gouvernance et la gestion les plus efficaces du Fonds Opportunités n’a pas encore été prise. </w:t>
      </w:r>
    </w:p>
    <w:p w:rsidR="001D71AD" w:rsidRPr="00EA7C6C" w:rsidRDefault="001D71AD" w:rsidP="0000007E">
      <w:pPr>
        <w:pStyle w:val="Heading2"/>
        <w:numPr>
          <w:ilvl w:val="0"/>
          <w:numId w:val="0"/>
        </w:numPr>
        <w:ind w:left="1080"/>
        <w:rPr>
          <w:b w:val="0"/>
          <w:sz w:val="20"/>
          <w:lang w:val="fr-FR"/>
        </w:rPr>
      </w:pPr>
    </w:p>
    <w:p w:rsidR="001D71AD" w:rsidRPr="00EA7C6C" w:rsidRDefault="001D71AD" w:rsidP="00BB13A1">
      <w:pPr>
        <w:pStyle w:val="Heading2"/>
        <w:numPr>
          <w:ilvl w:val="0"/>
          <w:numId w:val="4"/>
        </w:numPr>
        <w:ind w:left="1080" w:firstLine="0"/>
        <w:rPr>
          <w:b w:val="0"/>
          <w:sz w:val="20"/>
          <w:lang w:val="fr-FR"/>
        </w:rPr>
      </w:pPr>
      <w:r w:rsidRPr="00EA7C6C">
        <w:rPr>
          <w:b w:val="0"/>
          <w:sz w:val="20"/>
          <w:lang w:val="fr-FR"/>
        </w:rPr>
        <w:t>Au-delà des avantages directs des initiatives soutenues, un élément clé du Fonds Opportunités est de renforcer la culture de</w:t>
      </w:r>
      <w:r>
        <w:rPr>
          <w:b w:val="0"/>
          <w:sz w:val="20"/>
          <w:lang w:val="fr-FR"/>
        </w:rPr>
        <w:t xml:space="preserve"> l’i</w:t>
      </w:r>
      <w:r w:rsidRPr="00EA7C6C">
        <w:rPr>
          <w:b w:val="0"/>
          <w:sz w:val="20"/>
          <w:lang w:val="fr-FR"/>
        </w:rPr>
        <w:t xml:space="preserve">nnovation à l’UNFPA. Celanécessitera </w:t>
      </w:r>
      <w:r>
        <w:rPr>
          <w:b w:val="0"/>
          <w:sz w:val="20"/>
          <w:lang w:val="fr-FR"/>
        </w:rPr>
        <w:t xml:space="preserve">une prise </w:t>
      </w:r>
      <w:r>
        <w:rPr>
          <w:b w:val="0"/>
          <w:sz w:val="20"/>
          <w:lang w:val="fr-FR"/>
        </w:rPr>
        <w:lastRenderedPageBreak/>
        <w:t xml:space="preserve">derisques de manière plus </w:t>
      </w:r>
      <w:r w:rsidRPr="00EA7C6C">
        <w:rPr>
          <w:b w:val="0"/>
          <w:sz w:val="20"/>
          <w:lang w:val="fr-FR"/>
        </w:rPr>
        <w:t>intentionnel</w:t>
      </w:r>
      <w:r>
        <w:rPr>
          <w:b w:val="0"/>
          <w:sz w:val="20"/>
          <w:lang w:val="fr-FR"/>
        </w:rPr>
        <w:t>le</w:t>
      </w:r>
      <w:r w:rsidRPr="00EA7C6C">
        <w:rPr>
          <w:b w:val="0"/>
          <w:sz w:val="20"/>
          <w:lang w:val="fr-FR"/>
        </w:rPr>
        <w:t xml:space="preserve"> et stratégique,</w:t>
      </w:r>
      <w:r>
        <w:rPr>
          <w:b w:val="0"/>
          <w:sz w:val="20"/>
          <w:lang w:val="fr-FR"/>
        </w:rPr>
        <w:t>une tolérance de l</w:t>
      </w:r>
      <w:r w:rsidRPr="00EA7C6C">
        <w:rPr>
          <w:b w:val="0"/>
          <w:sz w:val="20"/>
          <w:lang w:val="fr-FR"/>
        </w:rPr>
        <w:t xml:space="preserve">’échec et </w:t>
      </w:r>
      <w:r>
        <w:rPr>
          <w:b w:val="0"/>
          <w:sz w:val="20"/>
          <w:lang w:val="fr-FR"/>
        </w:rPr>
        <w:t xml:space="preserve">l’instauration de </w:t>
      </w:r>
      <w:r w:rsidRPr="00EA7C6C">
        <w:rPr>
          <w:b w:val="0"/>
          <w:sz w:val="20"/>
          <w:lang w:val="fr-FR"/>
        </w:rPr>
        <w:t xml:space="preserve">mécanismes permettant de tirer plus rapidement les leçons de ces nouveaux efforts. </w:t>
      </w:r>
    </w:p>
    <w:p w:rsidR="001D71AD" w:rsidRPr="00EA7C6C" w:rsidRDefault="001D71AD" w:rsidP="0000007E">
      <w:pPr>
        <w:pStyle w:val="Heading2"/>
        <w:numPr>
          <w:ilvl w:val="0"/>
          <w:numId w:val="0"/>
        </w:numPr>
        <w:ind w:left="1080"/>
        <w:rPr>
          <w:b w:val="0"/>
          <w:sz w:val="20"/>
          <w:lang w:val="fr-FR"/>
        </w:rPr>
      </w:pPr>
    </w:p>
    <w:p w:rsidR="001D71AD" w:rsidRPr="00EA7C6C" w:rsidRDefault="001D71AD" w:rsidP="0000007E">
      <w:pPr>
        <w:pStyle w:val="Heading2"/>
        <w:numPr>
          <w:ilvl w:val="0"/>
          <w:numId w:val="0"/>
        </w:numPr>
        <w:ind w:left="1080"/>
        <w:rPr>
          <w:b w:val="0"/>
          <w:sz w:val="20"/>
          <w:lang w:val="fr-FR"/>
        </w:rPr>
      </w:pPr>
    </w:p>
    <w:p w:rsidR="001D71AD" w:rsidRDefault="001D71AD" w:rsidP="00BB13A1">
      <w:pPr>
        <w:pStyle w:val="Heading2"/>
        <w:numPr>
          <w:ilvl w:val="0"/>
          <w:numId w:val="16"/>
        </w:numPr>
        <w:ind w:left="1080" w:hanging="630"/>
      </w:pPr>
      <w:bookmarkStart w:id="16" w:name="_Toc363918456"/>
      <w:r w:rsidRPr="00937323">
        <w:rPr>
          <w:lang w:val="fr-FR"/>
        </w:rPr>
        <w:t>Renforcement des mécanismes pour optimiser les ressources à travers l’organisation</w:t>
      </w:r>
      <w:bookmarkEnd w:id="16"/>
    </w:p>
    <w:p w:rsidR="001D71AD" w:rsidRPr="00A21C46" w:rsidRDefault="001D71AD" w:rsidP="002D4C2D">
      <w:pPr>
        <w:ind w:left="1080" w:right="720"/>
        <w:jc w:val="both"/>
        <w:rPr>
          <w:lang w:val="fr-FR"/>
        </w:rPr>
      </w:pPr>
    </w:p>
    <w:p w:rsidR="001D71AD" w:rsidRPr="0000007E" w:rsidRDefault="001D71AD" w:rsidP="00BB13A1">
      <w:pPr>
        <w:pStyle w:val="Heading2"/>
        <w:numPr>
          <w:ilvl w:val="0"/>
          <w:numId w:val="4"/>
        </w:numPr>
        <w:ind w:left="1080" w:firstLine="0"/>
        <w:rPr>
          <w:b w:val="0"/>
          <w:sz w:val="20"/>
          <w:lang w:val="fr-FR"/>
        </w:rPr>
      </w:pPr>
      <w:r w:rsidRPr="0000007E">
        <w:rPr>
          <w:b w:val="0"/>
          <w:sz w:val="20"/>
          <w:lang w:val="fr-FR"/>
        </w:rPr>
        <w:t xml:space="preserve">L’UNFPA ne dispose actuellement d’aucun mécanisme </w:t>
      </w:r>
      <w:r>
        <w:rPr>
          <w:b w:val="0"/>
          <w:sz w:val="20"/>
          <w:lang w:val="fr-FR"/>
        </w:rPr>
        <w:t xml:space="preserve">d’optimisation des </w:t>
      </w:r>
      <w:r w:rsidRPr="0000007E">
        <w:rPr>
          <w:b w:val="0"/>
          <w:sz w:val="20"/>
          <w:lang w:val="fr-FR"/>
        </w:rPr>
        <w:t xml:space="preserve">ressources à travers tout le portefeuille, comme par exemple en récompensant la bonne gestion. Il n’y a par exemple aucun moyen systématique </w:t>
      </w:r>
      <w:r>
        <w:rPr>
          <w:b w:val="0"/>
          <w:sz w:val="20"/>
          <w:lang w:val="fr-FR"/>
        </w:rPr>
        <w:t>pour permettre aux</w:t>
      </w:r>
      <w:r w:rsidRPr="0000007E">
        <w:rPr>
          <w:b w:val="0"/>
          <w:sz w:val="20"/>
          <w:lang w:val="fr-FR"/>
        </w:rPr>
        <w:t xml:space="preserve"> bureaux de pays qui obtiendraient d’excellents résultats et pourraient élargir leur programmation, de recevoir un appui supplémentaire. À l’inverse. Il n’y a pas non plus de mécanisme qui examine de manière globale les résultats d’un bureau pays pour déterminer lesquels ont besoin d’un appui complémentaire technique, opérationnel ou programmatique.</w:t>
      </w:r>
    </w:p>
    <w:p w:rsidR="001D71AD" w:rsidRPr="0000007E" w:rsidRDefault="001D71AD" w:rsidP="0000007E">
      <w:pPr>
        <w:pStyle w:val="Heading2"/>
        <w:numPr>
          <w:ilvl w:val="0"/>
          <w:numId w:val="0"/>
        </w:numPr>
        <w:ind w:left="1080"/>
        <w:rPr>
          <w:b w:val="0"/>
          <w:sz w:val="20"/>
          <w:lang w:val="fr-FR"/>
        </w:rPr>
      </w:pPr>
    </w:p>
    <w:p w:rsidR="001D71AD" w:rsidRPr="0000007E" w:rsidRDefault="001D71AD" w:rsidP="00BB13A1">
      <w:pPr>
        <w:pStyle w:val="Heading2"/>
        <w:numPr>
          <w:ilvl w:val="0"/>
          <w:numId w:val="4"/>
        </w:numPr>
        <w:ind w:left="1080" w:firstLine="0"/>
        <w:rPr>
          <w:b w:val="0"/>
          <w:sz w:val="20"/>
          <w:lang w:val="fr-FR"/>
        </w:rPr>
      </w:pPr>
      <w:r w:rsidRPr="0000007E">
        <w:rPr>
          <w:b w:val="0"/>
          <w:sz w:val="20"/>
          <w:lang w:val="fr-FR"/>
        </w:rPr>
        <w:t xml:space="preserve">L’absence de ces mécanismes tient essentiellement au fait que l’UNFPA n’a actuellement aucun moyen objectif d’évaluer les résultats de ses bureaux pays. Quelque suivi est actuellement effectué, mais il s’agit de données d’exploitation qui ne peuvent pas donner un tableau complet. Cependant, l’instauration d’un tel système d’une manière objective et juste est compliquée et nécessite des systèmes d’information qui ne sont pas entièrement en place pour l’instant. Il n’est donc pas possible de rendre opérationnel un tel mécanisme d’évaluation du jour au lendemain et il est prévu que cela ne sera pas possible avant 2014, (partiellement en raison de liens avec des systèmes d’information actuellement en cours d’élaboration). </w:t>
      </w:r>
    </w:p>
    <w:p w:rsidR="001D71AD" w:rsidRPr="0000007E" w:rsidRDefault="001D71AD" w:rsidP="0000007E">
      <w:pPr>
        <w:pStyle w:val="Heading2"/>
        <w:numPr>
          <w:ilvl w:val="0"/>
          <w:numId w:val="0"/>
        </w:numPr>
        <w:ind w:left="1080"/>
        <w:rPr>
          <w:b w:val="0"/>
          <w:sz w:val="20"/>
          <w:lang w:val="fr-FR"/>
        </w:rPr>
      </w:pPr>
    </w:p>
    <w:p w:rsidR="001D71AD" w:rsidRPr="0000007E" w:rsidRDefault="001D71AD" w:rsidP="00BB13A1">
      <w:pPr>
        <w:pStyle w:val="Heading2"/>
        <w:numPr>
          <w:ilvl w:val="0"/>
          <w:numId w:val="4"/>
        </w:numPr>
        <w:ind w:left="1080" w:firstLine="0"/>
        <w:rPr>
          <w:b w:val="0"/>
          <w:sz w:val="20"/>
          <w:lang w:val="fr-FR"/>
        </w:rPr>
      </w:pPr>
      <w:r w:rsidRPr="0000007E">
        <w:rPr>
          <w:b w:val="0"/>
          <w:sz w:val="20"/>
          <w:lang w:val="fr-FR"/>
        </w:rPr>
        <w:t xml:space="preserve">De plus, il est important que l’UNFPA collabore avec les autres organisations des Nations Unies sur ce point, notamment parce que la « procédure opérationnelle normalisée pour les pays souhaitant adapter la méthode </w:t>
      </w:r>
      <w:r>
        <w:rPr>
          <w:b w:val="0"/>
          <w:sz w:val="20"/>
          <w:lang w:val="fr-FR"/>
        </w:rPr>
        <w:t>« </w:t>
      </w:r>
      <w:r w:rsidRPr="0000007E">
        <w:rPr>
          <w:b w:val="0"/>
          <w:sz w:val="20"/>
          <w:lang w:val="fr-FR"/>
        </w:rPr>
        <w:t xml:space="preserve">Unis dans l’action » en appelle explicitement au développement de « directives communes sur les critères d’attribution basés sur les résultats, y compris les normes minimales ». </w:t>
      </w:r>
    </w:p>
    <w:p w:rsidR="001D71AD" w:rsidRPr="0000007E" w:rsidRDefault="001D71AD" w:rsidP="0000007E">
      <w:pPr>
        <w:pStyle w:val="Heading2"/>
        <w:numPr>
          <w:ilvl w:val="0"/>
          <w:numId w:val="0"/>
        </w:numPr>
        <w:ind w:left="1080"/>
        <w:rPr>
          <w:b w:val="0"/>
          <w:sz w:val="20"/>
          <w:lang w:val="fr-FR"/>
        </w:rPr>
      </w:pPr>
    </w:p>
    <w:p w:rsidR="001D71AD" w:rsidRPr="0000007E" w:rsidRDefault="001D71AD" w:rsidP="00BB13A1">
      <w:pPr>
        <w:pStyle w:val="Heading2"/>
        <w:numPr>
          <w:ilvl w:val="0"/>
          <w:numId w:val="4"/>
        </w:numPr>
        <w:ind w:left="1080" w:firstLine="0"/>
        <w:rPr>
          <w:b w:val="0"/>
          <w:sz w:val="20"/>
          <w:lang w:val="fr-FR"/>
        </w:rPr>
      </w:pPr>
      <w:r w:rsidRPr="0000007E">
        <w:rPr>
          <w:b w:val="0"/>
          <w:sz w:val="20"/>
          <w:lang w:val="fr-FR"/>
        </w:rPr>
        <w:t xml:space="preserve">Une fois les systèmes nécessaires </w:t>
      </w:r>
      <w:r>
        <w:rPr>
          <w:b w:val="0"/>
          <w:sz w:val="20"/>
          <w:lang w:val="fr-FR"/>
        </w:rPr>
        <w:t>à l’évaluation d</w:t>
      </w:r>
      <w:r w:rsidRPr="0000007E">
        <w:rPr>
          <w:b w:val="0"/>
          <w:sz w:val="20"/>
          <w:lang w:val="fr-FR"/>
        </w:rPr>
        <w:t>es résultats d’une manière fiable</w:t>
      </w:r>
      <w:r>
        <w:rPr>
          <w:b w:val="0"/>
          <w:sz w:val="20"/>
          <w:lang w:val="fr-FR"/>
        </w:rPr>
        <w:t xml:space="preserve"> en place,</w:t>
      </w:r>
      <w:r w:rsidRPr="0000007E">
        <w:rPr>
          <w:b w:val="0"/>
          <w:sz w:val="20"/>
          <w:lang w:val="fr-FR"/>
        </w:rPr>
        <w:t xml:space="preserve"> il sera possible de concevoir des mécanismes d’optimisation des ressources (en récompensant les bons résultats</w:t>
      </w:r>
      <w:r>
        <w:rPr>
          <w:b w:val="0"/>
          <w:sz w:val="20"/>
          <w:lang w:val="fr-FR"/>
        </w:rPr>
        <w:t xml:space="preserve"> par exemple</w:t>
      </w:r>
      <w:r w:rsidRPr="0000007E">
        <w:rPr>
          <w:b w:val="0"/>
          <w:sz w:val="20"/>
          <w:lang w:val="fr-FR"/>
        </w:rPr>
        <w:t xml:space="preserve">), mais cela ne sera pas possible avant fin 2014, au plus tôt. </w:t>
      </w:r>
    </w:p>
    <w:p w:rsidR="001D71AD" w:rsidRPr="0000007E" w:rsidRDefault="001D71AD" w:rsidP="0000007E">
      <w:pPr>
        <w:pStyle w:val="Heading2"/>
        <w:numPr>
          <w:ilvl w:val="0"/>
          <w:numId w:val="0"/>
        </w:numPr>
        <w:ind w:left="1080"/>
        <w:rPr>
          <w:b w:val="0"/>
          <w:sz w:val="20"/>
          <w:lang w:val="fr-FR"/>
        </w:rPr>
      </w:pPr>
    </w:p>
    <w:p w:rsidR="001D71AD" w:rsidRPr="0000007E" w:rsidRDefault="001D71AD" w:rsidP="0000007E">
      <w:pPr>
        <w:pStyle w:val="Heading2"/>
        <w:numPr>
          <w:ilvl w:val="0"/>
          <w:numId w:val="0"/>
        </w:numPr>
        <w:ind w:left="1080"/>
        <w:rPr>
          <w:b w:val="0"/>
          <w:sz w:val="20"/>
          <w:lang w:val="fr-FR"/>
        </w:rPr>
      </w:pPr>
    </w:p>
    <w:p w:rsidR="001D71AD" w:rsidRPr="00AE3D84" w:rsidRDefault="001D71AD" w:rsidP="00BB13A1">
      <w:pPr>
        <w:pStyle w:val="Heading1"/>
        <w:numPr>
          <w:ilvl w:val="0"/>
          <w:numId w:val="5"/>
        </w:numPr>
        <w:rPr>
          <w:lang w:val="fr-CA"/>
        </w:rPr>
      </w:pPr>
      <w:bookmarkStart w:id="17" w:name="_Toc363918457"/>
      <w:r w:rsidRPr="00AE3D84">
        <w:rPr>
          <w:lang w:val="fr-CA"/>
        </w:rPr>
        <w:t>Avantages des nouvelles approches</w:t>
      </w:r>
      <w:bookmarkEnd w:id="17"/>
    </w:p>
    <w:p w:rsidR="001D71AD" w:rsidRDefault="001D71AD" w:rsidP="00C70467">
      <w:pPr>
        <w:pStyle w:val="Heading2"/>
        <w:numPr>
          <w:ilvl w:val="0"/>
          <w:numId w:val="0"/>
        </w:numPr>
        <w:ind w:left="1080"/>
        <w:rPr>
          <w:b w:val="0"/>
          <w:sz w:val="20"/>
          <w:lang w:val="fr-CA"/>
        </w:rPr>
      </w:pPr>
    </w:p>
    <w:p w:rsidR="001D71AD" w:rsidRPr="00C70467" w:rsidRDefault="001D71AD" w:rsidP="00BB13A1">
      <w:pPr>
        <w:pStyle w:val="Heading2"/>
        <w:numPr>
          <w:ilvl w:val="0"/>
          <w:numId w:val="4"/>
        </w:numPr>
        <w:ind w:left="1080" w:firstLine="0"/>
        <w:rPr>
          <w:b w:val="0"/>
          <w:sz w:val="20"/>
          <w:lang w:val="fr-FR"/>
        </w:rPr>
      </w:pPr>
      <w:r w:rsidRPr="00C70467">
        <w:rPr>
          <w:b w:val="0"/>
          <w:sz w:val="20"/>
          <w:lang w:val="fr-FR"/>
        </w:rPr>
        <w:t xml:space="preserve">Les nouvelles approches de modalités de financement résoudront les cinq principaux problèmes décrits ci-dessus, comme le résume le tableau 10. </w:t>
      </w:r>
    </w:p>
    <w:p w:rsidR="001D71AD" w:rsidRPr="00C70467" w:rsidRDefault="001D71AD" w:rsidP="00C70467">
      <w:pPr>
        <w:pStyle w:val="Heading2"/>
        <w:numPr>
          <w:ilvl w:val="0"/>
          <w:numId w:val="0"/>
        </w:numPr>
        <w:ind w:left="1080"/>
        <w:rPr>
          <w:b w:val="0"/>
          <w:sz w:val="20"/>
          <w:lang w:val="fr-FR"/>
        </w:rPr>
      </w:pPr>
    </w:p>
    <w:p w:rsidR="001D71AD" w:rsidRPr="00AE3D84" w:rsidRDefault="001D71AD" w:rsidP="00CE35D1">
      <w:pPr>
        <w:ind w:left="1080" w:right="720"/>
        <w:jc w:val="both"/>
        <w:rPr>
          <w:lang w:val="fr-CA"/>
        </w:rPr>
      </w:pPr>
      <w:r w:rsidRPr="00AE3D84">
        <w:rPr>
          <w:b/>
          <w:lang w:val="fr-CA"/>
        </w:rPr>
        <w:t xml:space="preserve">Tableau 10: Problèmes concernant le SAR actuel et solutions qu’y apportent les nouvelles approches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0"/>
        <w:gridCol w:w="4860"/>
      </w:tblGrid>
      <w:tr w:rsidR="001D71AD" w:rsidRPr="00AE3D84" w:rsidTr="000E2434">
        <w:tc>
          <w:tcPr>
            <w:tcW w:w="2610" w:type="dxa"/>
          </w:tcPr>
          <w:p w:rsidR="001D71AD" w:rsidRPr="00AE3D84" w:rsidRDefault="001D71AD" w:rsidP="00E016D6">
            <w:pPr>
              <w:jc w:val="both"/>
              <w:rPr>
                <w:b/>
                <w:sz w:val="18"/>
                <w:lang w:val="fr-CA"/>
              </w:rPr>
            </w:pPr>
            <w:r w:rsidRPr="00AE3D84">
              <w:rPr>
                <w:b/>
                <w:sz w:val="18"/>
                <w:lang w:val="fr-CA"/>
              </w:rPr>
              <w:t>Problème</w:t>
            </w:r>
          </w:p>
        </w:tc>
        <w:tc>
          <w:tcPr>
            <w:tcW w:w="4860" w:type="dxa"/>
          </w:tcPr>
          <w:p w:rsidR="001D71AD" w:rsidRPr="00AE3D84" w:rsidRDefault="001D71AD" w:rsidP="00E016D6">
            <w:pPr>
              <w:jc w:val="both"/>
              <w:rPr>
                <w:b/>
                <w:sz w:val="18"/>
                <w:lang w:val="fr-CA"/>
              </w:rPr>
            </w:pPr>
            <w:r w:rsidRPr="00AE3D84">
              <w:rPr>
                <w:b/>
                <w:sz w:val="18"/>
                <w:lang w:val="fr-CA"/>
              </w:rPr>
              <w:t>Solution</w:t>
            </w:r>
          </w:p>
        </w:tc>
      </w:tr>
      <w:tr w:rsidR="001D71AD" w:rsidRPr="004923E9" w:rsidTr="000E2434">
        <w:tc>
          <w:tcPr>
            <w:tcW w:w="2610" w:type="dxa"/>
          </w:tcPr>
          <w:p w:rsidR="001D71AD" w:rsidRPr="00AE3D84" w:rsidRDefault="001D71AD" w:rsidP="00E016D6">
            <w:pPr>
              <w:rPr>
                <w:sz w:val="18"/>
                <w:lang w:val="fr-CA"/>
              </w:rPr>
            </w:pPr>
            <w:r w:rsidRPr="00AE3D84">
              <w:rPr>
                <w:sz w:val="18"/>
                <w:lang w:val="fr-CA"/>
              </w:rPr>
              <w:t xml:space="preserve">Les indicateurs, établis avant l’adoption de la nouvelle direction stratégique définie lors de l’examen à mi-parcours du plan stratégique ne correspondent plus complètement à la direction stratégique. </w:t>
            </w:r>
          </w:p>
        </w:tc>
        <w:tc>
          <w:tcPr>
            <w:tcW w:w="4860" w:type="dxa"/>
          </w:tcPr>
          <w:p w:rsidR="001D71AD" w:rsidRPr="00AE3D84" w:rsidRDefault="001D71AD" w:rsidP="00C70467">
            <w:pPr>
              <w:jc w:val="both"/>
              <w:rPr>
                <w:sz w:val="18"/>
                <w:lang w:val="fr-CA"/>
              </w:rPr>
            </w:pPr>
            <w:r w:rsidRPr="00AE3D84">
              <w:rPr>
                <w:sz w:val="18"/>
                <w:lang w:val="fr-CA"/>
              </w:rPr>
              <w:t>La révision propos</w:t>
            </w:r>
            <w:r>
              <w:rPr>
                <w:sz w:val="18"/>
                <w:lang w:val="fr-CA"/>
              </w:rPr>
              <w:t>é</w:t>
            </w:r>
            <w:r w:rsidRPr="00AE3D84">
              <w:rPr>
                <w:sz w:val="18"/>
                <w:lang w:val="fr-CA"/>
              </w:rPr>
              <w:t xml:space="preserve">e des indicateurs décrite ci-dessus résout directement ce problème et garantit </w:t>
            </w:r>
            <w:r>
              <w:rPr>
                <w:sz w:val="18"/>
                <w:lang w:val="fr-CA"/>
              </w:rPr>
              <w:t xml:space="preserve">une exacte correspondance entre </w:t>
            </w:r>
            <w:r w:rsidRPr="00AE3D84">
              <w:rPr>
                <w:sz w:val="18"/>
                <w:lang w:val="fr-CA"/>
              </w:rPr>
              <w:t xml:space="preserve">les indicateurs SAR </w:t>
            </w:r>
            <w:r>
              <w:rPr>
                <w:sz w:val="18"/>
                <w:lang w:val="fr-CA"/>
              </w:rPr>
              <w:t>et</w:t>
            </w:r>
            <w:r w:rsidRPr="00AE3D84">
              <w:rPr>
                <w:sz w:val="18"/>
                <w:lang w:val="fr-CA"/>
              </w:rPr>
              <w:t xml:space="preserve"> la direction stratégique.De plus, l’utilisation de facteurs de pondération pour les indicateurs renforce davantage les liens entre les SAR et la direction stratégique (et créent ainsi un mécanisme flexible pouvant  servir a</w:t>
            </w:r>
            <w:r>
              <w:rPr>
                <w:sz w:val="18"/>
                <w:lang w:val="fr-CA"/>
              </w:rPr>
              <w:t xml:space="preserve">u fil du temps à mesure </w:t>
            </w:r>
            <w:r w:rsidRPr="00AE3D84">
              <w:rPr>
                <w:sz w:val="18"/>
                <w:lang w:val="fr-CA"/>
              </w:rPr>
              <w:t>de l’évolution de la direction stratégique).</w:t>
            </w:r>
          </w:p>
        </w:tc>
      </w:tr>
      <w:tr w:rsidR="001D71AD" w:rsidRPr="004923E9" w:rsidTr="000E2434">
        <w:tc>
          <w:tcPr>
            <w:tcW w:w="2610" w:type="dxa"/>
          </w:tcPr>
          <w:p w:rsidR="001D71AD" w:rsidRPr="00AE3D84" w:rsidRDefault="001D71AD" w:rsidP="00C70467">
            <w:pPr>
              <w:jc w:val="both"/>
              <w:rPr>
                <w:sz w:val="18"/>
                <w:lang w:val="fr-CA"/>
              </w:rPr>
            </w:pPr>
            <w:r w:rsidRPr="00AE3D84">
              <w:rPr>
                <w:sz w:val="18"/>
                <w:lang w:val="fr-CA"/>
              </w:rPr>
              <w:t xml:space="preserve">L’attribution actuelle des ressources n’est pas convenablement axée sur les </w:t>
            </w:r>
            <w:r w:rsidRPr="00AE3D84">
              <w:rPr>
                <w:sz w:val="18"/>
                <w:lang w:val="fr-CA"/>
              </w:rPr>
              <w:lastRenderedPageBreak/>
              <w:t xml:space="preserve">besoins, ce qui est particulièrement problématique pour un organisme qui a un mandat universel et fonde son travail sur les principes des droits humains, notamment le respect de toutes les vies. </w:t>
            </w:r>
          </w:p>
        </w:tc>
        <w:tc>
          <w:tcPr>
            <w:tcW w:w="4860" w:type="dxa"/>
          </w:tcPr>
          <w:p w:rsidR="001D71AD" w:rsidRPr="00AE3D84" w:rsidRDefault="001D71AD" w:rsidP="002D4C2D">
            <w:pPr>
              <w:jc w:val="both"/>
              <w:rPr>
                <w:sz w:val="18"/>
                <w:lang w:val="fr-CA"/>
              </w:rPr>
            </w:pPr>
            <w:r w:rsidRPr="00AE3D84">
              <w:rPr>
                <w:sz w:val="18"/>
                <w:lang w:val="fr-CA"/>
              </w:rPr>
              <w:lastRenderedPageBreak/>
              <w:t xml:space="preserve">L’approche proposée améliorera la mesure dans laquelle les ressources sont axées sur les besoins. Comme on le voit dans le tableau 9 ci-dessus, les pays du quadrant rouge recevront la plus </w:t>
            </w:r>
            <w:r w:rsidRPr="00AE3D84">
              <w:rPr>
                <w:sz w:val="18"/>
                <w:lang w:val="fr-CA"/>
              </w:rPr>
              <w:lastRenderedPageBreak/>
              <w:t xml:space="preserve">grande proportion des ressources et les attributions les plus élevées par tête. De plus, le pourcentage de ressources allant aux pays les moins avancés augmentera comme le fera le pourcentage attribué aux pays confrontés aux plus grands risques de crise humanitaire. </w:t>
            </w:r>
          </w:p>
          <w:p w:rsidR="001D71AD" w:rsidRPr="00AE3D84" w:rsidRDefault="001D71AD" w:rsidP="00E67EB3">
            <w:pPr>
              <w:jc w:val="both"/>
              <w:rPr>
                <w:sz w:val="18"/>
                <w:lang w:val="fr-CA"/>
              </w:rPr>
            </w:pPr>
            <w:r w:rsidRPr="00AE3D84">
              <w:rPr>
                <w:sz w:val="18"/>
                <w:lang w:val="fr-CA"/>
              </w:rPr>
              <w:t xml:space="preserve">Cependant, l’utilisation d’un « plancher » garantira </w:t>
            </w:r>
            <w:r>
              <w:rPr>
                <w:sz w:val="18"/>
                <w:lang w:val="fr-CA"/>
              </w:rPr>
              <w:t>à t</w:t>
            </w:r>
            <w:r w:rsidRPr="00AE3D84">
              <w:rPr>
                <w:sz w:val="18"/>
                <w:lang w:val="fr-CA"/>
              </w:rPr>
              <w:t xml:space="preserve">ous les pays dans lesquels intervient l’UNFPA </w:t>
            </w:r>
            <w:r>
              <w:rPr>
                <w:sz w:val="18"/>
                <w:lang w:val="fr-CA"/>
              </w:rPr>
              <w:t>une</w:t>
            </w:r>
            <w:r w:rsidRPr="00AE3D84">
              <w:rPr>
                <w:sz w:val="18"/>
                <w:lang w:val="fr-CA"/>
              </w:rPr>
              <w:t xml:space="preserve"> capacité minimale de soutenir l’agenda de la CIPD. </w:t>
            </w:r>
          </w:p>
        </w:tc>
      </w:tr>
      <w:tr w:rsidR="001D71AD" w:rsidRPr="004923E9" w:rsidTr="000E2434">
        <w:tc>
          <w:tcPr>
            <w:tcW w:w="2610" w:type="dxa"/>
          </w:tcPr>
          <w:p w:rsidR="001D71AD" w:rsidRPr="00983805" w:rsidRDefault="001D71AD" w:rsidP="00C81395">
            <w:pPr>
              <w:jc w:val="both"/>
              <w:rPr>
                <w:sz w:val="18"/>
                <w:lang w:val="fr-FR"/>
              </w:rPr>
            </w:pPr>
            <w:r w:rsidRPr="00983805">
              <w:rPr>
                <w:sz w:val="18"/>
                <w:lang w:val="fr-FR"/>
              </w:rPr>
              <w:lastRenderedPageBreak/>
              <w:t xml:space="preserve">L’attribution des ressources ne correspond pas aux types d’interventions </w:t>
            </w:r>
            <w:r>
              <w:rPr>
                <w:sz w:val="18"/>
                <w:lang w:val="fr-FR"/>
              </w:rPr>
              <w:t xml:space="preserve">que dispense </w:t>
            </w:r>
            <w:r w:rsidRPr="00983805">
              <w:rPr>
                <w:sz w:val="18"/>
                <w:lang w:val="fr-FR"/>
              </w:rPr>
              <w:t xml:space="preserve">l’UNFPA </w:t>
            </w:r>
          </w:p>
        </w:tc>
        <w:tc>
          <w:tcPr>
            <w:tcW w:w="4860" w:type="dxa"/>
          </w:tcPr>
          <w:p w:rsidR="001D71AD" w:rsidRPr="009B44A8" w:rsidRDefault="001D71AD" w:rsidP="009B44A8">
            <w:pPr>
              <w:jc w:val="both"/>
              <w:rPr>
                <w:sz w:val="18"/>
                <w:lang w:val="fr-FR"/>
              </w:rPr>
            </w:pPr>
            <w:r w:rsidRPr="009B44A8">
              <w:rPr>
                <w:sz w:val="18"/>
                <w:lang w:val="fr-FR"/>
              </w:rPr>
              <w:t xml:space="preserve">Ce problème est résolu en fondant le SAR sur le modèle de gestion et en liant la pondération des SAR directement aux types d’interventions que l’UNPA réalisera comme cela est énoncé dans le modèle de gestion. </w:t>
            </w:r>
          </w:p>
        </w:tc>
      </w:tr>
      <w:tr w:rsidR="001D71AD" w:rsidRPr="004923E9" w:rsidTr="000E2434">
        <w:tc>
          <w:tcPr>
            <w:tcW w:w="2610" w:type="dxa"/>
          </w:tcPr>
          <w:p w:rsidR="001D71AD" w:rsidRPr="00E00BC7" w:rsidRDefault="001D71AD" w:rsidP="00E00BC7">
            <w:pPr>
              <w:jc w:val="both"/>
              <w:rPr>
                <w:sz w:val="18"/>
                <w:lang w:val="fr-FR"/>
              </w:rPr>
            </w:pPr>
            <w:r w:rsidRPr="00E00BC7">
              <w:rPr>
                <w:sz w:val="18"/>
                <w:lang w:val="fr-FR"/>
              </w:rPr>
              <w:t xml:space="preserve">Le système actuel n’attribue pas les ressources d’une manière qui en optimise l’impact, en récompensant les résultats par exemple </w:t>
            </w:r>
          </w:p>
        </w:tc>
        <w:tc>
          <w:tcPr>
            <w:tcW w:w="4860" w:type="dxa"/>
          </w:tcPr>
          <w:p w:rsidR="001D71AD" w:rsidRPr="00983805" w:rsidRDefault="001D71AD" w:rsidP="009E4A01">
            <w:pPr>
              <w:jc w:val="both"/>
              <w:rPr>
                <w:sz w:val="18"/>
                <w:lang w:val="fr-FR"/>
              </w:rPr>
            </w:pPr>
            <w:r w:rsidRPr="009B44A8">
              <w:rPr>
                <w:sz w:val="18"/>
                <w:lang w:val="fr-FR"/>
              </w:rPr>
              <w:t>Comme indiqué ci-dessus, ce problème devra être réglé progressivement du fait que l’UNFPA ne dispose pas actuellement d</w:t>
            </w:r>
            <w:r>
              <w:rPr>
                <w:sz w:val="18"/>
                <w:lang w:val="fr-FR"/>
              </w:rPr>
              <w:t xml:space="preserve">’un système qui peut objectivement évaluer la performance. </w:t>
            </w:r>
            <w:r w:rsidRPr="009E4A01">
              <w:rPr>
                <w:sz w:val="18"/>
                <w:lang w:val="fr-FR"/>
              </w:rPr>
              <w:t>Une fois ce système établi, il sera possible d’améliorer la mesure dans laquelle les attributions sont fond</w:t>
            </w:r>
            <w:r>
              <w:rPr>
                <w:sz w:val="18"/>
                <w:lang w:val="fr-FR"/>
              </w:rPr>
              <w:t xml:space="preserve">ées sur les résultats. </w:t>
            </w:r>
          </w:p>
        </w:tc>
      </w:tr>
      <w:tr w:rsidR="001D71AD" w:rsidRPr="004923E9" w:rsidTr="000E2434">
        <w:tc>
          <w:tcPr>
            <w:tcW w:w="2610" w:type="dxa"/>
          </w:tcPr>
          <w:p w:rsidR="001D71AD" w:rsidRPr="00983805" w:rsidRDefault="001D71AD" w:rsidP="00C81395">
            <w:pPr>
              <w:jc w:val="both"/>
              <w:rPr>
                <w:sz w:val="18"/>
                <w:lang w:val="fr-FR"/>
              </w:rPr>
            </w:pPr>
            <w:r w:rsidRPr="00983805">
              <w:rPr>
                <w:sz w:val="18"/>
                <w:lang w:val="fr-FR"/>
              </w:rPr>
              <w:t xml:space="preserve">Le système actuel n’est pas adapté aux interventions </w:t>
            </w:r>
            <w:r>
              <w:rPr>
                <w:sz w:val="18"/>
                <w:lang w:val="fr-FR"/>
              </w:rPr>
              <w:t>nécessitées par une</w:t>
            </w:r>
            <w:r w:rsidRPr="00983805">
              <w:rPr>
                <w:sz w:val="18"/>
                <w:lang w:val="fr-FR"/>
              </w:rPr>
              <w:t xml:space="preserve"> crise humanitaire </w:t>
            </w:r>
          </w:p>
        </w:tc>
        <w:tc>
          <w:tcPr>
            <w:tcW w:w="4860" w:type="dxa"/>
          </w:tcPr>
          <w:p w:rsidR="001D71AD" w:rsidRPr="00983805" w:rsidRDefault="001D71AD" w:rsidP="009E4A01">
            <w:pPr>
              <w:jc w:val="both"/>
              <w:rPr>
                <w:sz w:val="18"/>
                <w:lang w:val="fr-FR"/>
              </w:rPr>
            </w:pPr>
            <w:r w:rsidRPr="009E4A01">
              <w:rPr>
                <w:sz w:val="18"/>
                <w:lang w:val="fr-FR"/>
              </w:rPr>
              <w:t xml:space="preserve">L’augmentation de la taille du Fonds de secours de 3 millions $ à 5 millions $ remédiera directement à ce problème. </w:t>
            </w:r>
          </w:p>
        </w:tc>
      </w:tr>
    </w:tbl>
    <w:p w:rsidR="001D71AD" w:rsidRPr="00983805" w:rsidRDefault="001D71AD" w:rsidP="007C2F97">
      <w:pPr>
        <w:ind w:left="1080" w:right="720"/>
        <w:jc w:val="both"/>
        <w:rPr>
          <w:lang w:val="fr-FR"/>
        </w:rPr>
      </w:pPr>
    </w:p>
    <w:p w:rsidR="001D71AD" w:rsidRPr="00A9743E" w:rsidRDefault="001D71AD" w:rsidP="00BB13A1">
      <w:pPr>
        <w:pStyle w:val="Heading2"/>
        <w:numPr>
          <w:ilvl w:val="0"/>
          <w:numId w:val="4"/>
        </w:numPr>
        <w:ind w:left="1080" w:firstLine="0"/>
        <w:rPr>
          <w:b w:val="0"/>
          <w:sz w:val="20"/>
          <w:lang w:val="fr-FR"/>
        </w:rPr>
      </w:pPr>
      <w:r w:rsidRPr="00A9743E">
        <w:rPr>
          <w:b w:val="0"/>
          <w:sz w:val="20"/>
          <w:lang w:val="fr-FR"/>
        </w:rPr>
        <w:t>Ainsi, les nouvelles approches a</w:t>
      </w:r>
      <w:r>
        <w:rPr>
          <w:b w:val="0"/>
          <w:sz w:val="20"/>
          <w:lang w:val="fr-FR"/>
        </w:rPr>
        <w:t xml:space="preserve">ugmenteront </w:t>
      </w:r>
      <w:r w:rsidRPr="00A9743E">
        <w:rPr>
          <w:b w:val="0"/>
          <w:sz w:val="20"/>
          <w:lang w:val="fr-FR"/>
        </w:rPr>
        <w:t xml:space="preserve">l’efficacité et l’efficience d’ensemble de l’UNFPA qui se traduira par </w:t>
      </w:r>
      <w:r>
        <w:rPr>
          <w:b w:val="0"/>
          <w:sz w:val="20"/>
          <w:lang w:val="fr-FR"/>
        </w:rPr>
        <w:t>une amélioration de l</w:t>
      </w:r>
      <w:r w:rsidRPr="00A9743E">
        <w:rPr>
          <w:b w:val="0"/>
          <w:sz w:val="20"/>
          <w:lang w:val="fr-FR"/>
        </w:rPr>
        <w:t xml:space="preserve">a vie des femmes, des adolescents et des jeunes à travers le monde. </w:t>
      </w:r>
    </w:p>
    <w:p w:rsidR="001D71AD" w:rsidRPr="00884678" w:rsidRDefault="001D71AD" w:rsidP="00F9647B">
      <w:pPr>
        <w:ind w:left="1080" w:right="720"/>
        <w:jc w:val="both"/>
        <w:rPr>
          <w:lang w:val="fr-FR"/>
        </w:rPr>
      </w:pPr>
    </w:p>
    <w:p w:rsidR="001D71AD" w:rsidRPr="00884678" w:rsidRDefault="001D71AD" w:rsidP="00FB0B93">
      <w:pPr>
        <w:ind w:left="1080" w:right="720"/>
        <w:jc w:val="both"/>
        <w:rPr>
          <w:lang w:val="fr-FR"/>
        </w:rPr>
      </w:pPr>
    </w:p>
    <w:p w:rsidR="001D71AD" w:rsidRPr="00AE3D84" w:rsidRDefault="001D71AD" w:rsidP="009E5D7B">
      <w:pPr>
        <w:pStyle w:val="Heading1"/>
        <w:numPr>
          <w:ilvl w:val="0"/>
          <w:numId w:val="0"/>
        </w:numPr>
        <w:ind w:left="936" w:hanging="360"/>
        <w:rPr>
          <w:lang w:val="fr-CA"/>
        </w:rPr>
      </w:pPr>
      <w:r>
        <w:br w:type="page"/>
      </w:r>
      <w:bookmarkStart w:id="18" w:name="_Toc363918458"/>
      <w:r w:rsidRPr="00AE3D84">
        <w:rPr>
          <w:lang w:val="fr-CA"/>
        </w:rPr>
        <w:lastRenderedPageBreak/>
        <w:t>Appendice : Classification des pays</w:t>
      </w:r>
      <w:bookmarkEnd w:id="18"/>
    </w:p>
    <w:p w:rsidR="001D71AD" w:rsidRPr="00AE3D84" w:rsidRDefault="001D71AD" w:rsidP="00394F8A">
      <w:pPr>
        <w:ind w:left="1080" w:right="720"/>
        <w:jc w:val="both"/>
        <w:rPr>
          <w:lang w:val="fr-CA"/>
        </w:rPr>
      </w:pPr>
    </w:p>
    <w:tbl>
      <w:tblPr>
        <w:tblpPr w:leftFromText="180" w:rightFromText="180" w:vertAnchor="text" w:tblpX="432" w:tblpY="-66"/>
        <w:tblW w:w="8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187"/>
        <w:gridCol w:w="2187"/>
        <w:gridCol w:w="2187"/>
        <w:gridCol w:w="2187"/>
      </w:tblGrid>
      <w:tr w:rsidR="001D71AD" w:rsidRPr="00AE3D84" w:rsidTr="00465EE5">
        <w:trPr>
          <w:trHeight w:val="399"/>
        </w:trPr>
        <w:tc>
          <w:tcPr>
            <w:tcW w:w="2187" w:type="dxa"/>
            <w:shd w:val="clear" w:color="auto" w:fill="FF0000"/>
            <w:vAlign w:val="center"/>
          </w:tcPr>
          <w:p w:rsidR="001D71AD" w:rsidRPr="00AE3D84" w:rsidRDefault="001D71AD" w:rsidP="00465EE5">
            <w:pPr>
              <w:jc w:val="center"/>
              <w:rPr>
                <w:b/>
                <w:sz w:val="18"/>
                <w:szCs w:val="18"/>
                <w:lang w:val="fr-CA"/>
              </w:rPr>
            </w:pPr>
            <w:r w:rsidRPr="00AE3D84">
              <w:rPr>
                <w:b/>
                <w:sz w:val="18"/>
                <w:szCs w:val="18"/>
                <w:lang w:val="fr-CA"/>
              </w:rPr>
              <w:t>Quadrant rouge</w:t>
            </w:r>
          </w:p>
          <w:p w:rsidR="001D71AD" w:rsidRPr="00AE3D84" w:rsidRDefault="001D71AD" w:rsidP="00EF41C8">
            <w:pPr>
              <w:jc w:val="center"/>
              <w:rPr>
                <w:sz w:val="18"/>
                <w:szCs w:val="18"/>
                <w:lang w:val="fr-CA"/>
              </w:rPr>
            </w:pPr>
            <w:r w:rsidRPr="00AE3D84">
              <w:rPr>
                <w:b/>
                <w:sz w:val="18"/>
                <w:szCs w:val="18"/>
                <w:lang w:val="fr-CA"/>
              </w:rPr>
              <w:t>(40 pays)</w:t>
            </w:r>
          </w:p>
        </w:tc>
        <w:tc>
          <w:tcPr>
            <w:tcW w:w="2187" w:type="dxa"/>
            <w:shd w:val="clear" w:color="auto" w:fill="FFC000"/>
            <w:vAlign w:val="center"/>
          </w:tcPr>
          <w:p w:rsidR="001D71AD" w:rsidRPr="00AE3D84" w:rsidRDefault="001D71AD" w:rsidP="00465EE5">
            <w:pPr>
              <w:jc w:val="center"/>
              <w:rPr>
                <w:b/>
                <w:sz w:val="18"/>
                <w:szCs w:val="18"/>
                <w:lang w:val="fr-CA"/>
              </w:rPr>
            </w:pPr>
            <w:r w:rsidRPr="00AE3D84">
              <w:rPr>
                <w:b/>
                <w:sz w:val="18"/>
                <w:szCs w:val="18"/>
                <w:lang w:val="fr-CA"/>
              </w:rPr>
              <w:t xml:space="preserve">Quadrant orange </w:t>
            </w:r>
          </w:p>
          <w:p w:rsidR="001D71AD" w:rsidRPr="00AE3D84" w:rsidRDefault="001D71AD" w:rsidP="0033720A">
            <w:pPr>
              <w:jc w:val="center"/>
              <w:rPr>
                <w:sz w:val="18"/>
                <w:szCs w:val="18"/>
                <w:lang w:val="fr-CA"/>
              </w:rPr>
            </w:pPr>
            <w:r w:rsidRPr="00AE3D84">
              <w:rPr>
                <w:b/>
                <w:sz w:val="18"/>
                <w:szCs w:val="18"/>
                <w:lang w:val="fr-CA"/>
              </w:rPr>
              <w:t>(21 pays)</w:t>
            </w:r>
          </w:p>
        </w:tc>
        <w:tc>
          <w:tcPr>
            <w:tcW w:w="2187" w:type="dxa"/>
            <w:shd w:val="clear" w:color="auto" w:fill="FFFF00"/>
            <w:vAlign w:val="center"/>
          </w:tcPr>
          <w:p w:rsidR="001D71AD" w:rsidRPr="00AE3D84" w:rsidRDefault="001D71AD" w:rsidP="00465EE5">
            <w:pPr>
              <w:jc w:val="center"/>
              <w:rPr>
                <w:b/>
                <w:sz w:val="18"/>
                <w:szCs w:val="18"/>
                <w:lang w:val="fr-CA"/>
              </w:rPr>
            </w:pPr>
            <w:r w:rsidRPr="00AE3D84">
              <w:rPr>
                <w:b/>
                <w:sz w:val="18"/>
                <w:szCs w:val="18"/>
                <w:lang w:val="fr-CA"/>
              </w:rPr>
              <w:t>Quadrant jaune</w:t>
            </w:r>
          </w:p>
          <w:p w:rsidR="001D71AD" w:rsidRPr="00AE3D84" w:rsidRDefault="001D71AD" w:rsidP="00884678">
            <w:pPr>
              <w:jc w:val="center"/>
              <w:rPr>
                <w:sz w:val="18"/>
                <w:szCs w:val="18"/>
                <w:lang w:val="fr-CA"/>
              </w:rPr>
            </w:pPr>
            <w:r w:rsidRPr="00AE3D84">
              <w:rPr>
                <w:b/>
                <w:sz w:val="18"/>
                <w:szCs w:val="18"/>
                <w:lang w:val="fr-CA"/>
              </w:rPr>
              <w:t>(16 pays)</w:t>
            </w:r>
          </w:p>
        </w:tc>
        <w:tc>
          <w:tcPr>
            <w:tcW w:w="2187" w:type="dxa"/>
            <w:shd w:val="clear" w:color="auto" w:fill="FF66FF"/>
            <w:vAlign w:val="center"/>
          </w:tcPr>
          <w:p w:rsidR="001D71AD" w:rsidRPr="00AE3D84" w:rsidRDefault="001D71AD" w:rsidP="00465EE5">
            <w:pPr>
              <w:jc w:val="center"/>
              <w:rPr>
                <w:b/>
                <w:sz w:val="18"/>
                <w:szCs w:val="18"/>
                <w:lang w:val="fr-CA"/>
              </w:rPr>
            </w:pPr>
            <w:r w:rsidRPr="00AE3D84">
              <w:rPr>
                <w:b/>
                <w:sz w:val="18"/>
                <w:szCs w:val="18"/>
                <w:lang w:val="fr-CA"/>
              </w:rPr>
              <w:t>Quadrant rose</w:t>
            </w:r>
          </w:p>
          <w:p w:rsidR="001D71AD" w:rsidRPr="00AE3D84" w:rsidRDefault="001D71AD" w:rsidP="00884678">
            <w:pPr>
              <w:jc w:val="center"/>
              <w:rPr>
                <w:sz w:val="18"/>
                <w:szCs w:val="18"/>
                <w:lang w:val="fr-CA"/>
              </w:rPr>
            </w:pPr>
            <w:r w:rsidRPr="00AE3D84">
              <w:rPr>
                <w:b/>
                <w:sz w:val="18"/>
                <w:szCs w:val="18"/>
                <w:lang w:val="fr-CA"/>
              </w:rPr>
              <w:t>(44 pays)</w:t>
            </w:r>
          </w:p>
        </w:tc>
      </w:tr>
      <w:tr w:rsidR="001D71AD" w:rsidRPr="00AE3D84" w:rsidTr="00465EE5">
        <w:trPr>
          <w:trHeight w:val="8279"/>
        </w:trPr>
        <w:tc>
          <w:tcPr>
            <w:tcW w:w="2187" w:type="dxa"/>
          </w:tcPr>
          <w:p w:rsidR="001D71AD" w:rsidRPr="00240E30" w:rsidRDefault="001D71AD" w:rsidP="00465EE5">
            <w:pPr>
              <w:rPr>
                <w:sz w:val="18"/>
                <w:szCs w:val="18"/>
                <w:lang w:val="en-US"/>
              </w:rPr>
            </w:pPr>
            <w:r w:rsidRPr="00240E30">
              <w:rPr>
                <w:sz w:val="18"/>
                <w:szCs w:val="18"/>
                <w:lang w:val="en-US"/>
              </w:rPr>
              <w:t>Afghanistan</w:t>
            </w:r>
          </w:p>
          <w:p w:rsidR="001D71AD" w:rsidRPr="00240E30" w:rsidRDefault="001D71AD" w:rsidP="00465EE5">
            <w:pPr>
              <w:rPr>
                <w:sz w:val="18"/>
                <w:szCs w:val="18"/>
                <w:lang w:val="en-US"/>
              </w:rPr>
            </w:pPr>
            <w:r w:rsidRPr="00240E30">
              <w:rPr>
                <w:sz w:val="18"/>
                <w:szCs w:val="18"/>
                <w:lang w:val="en-US"/>
              </w:rPr>
              <w:t>Bangladesh</w:t>
            </w:r>
          </w:p>
          <w:p w:rsidR="001D71AD" w:rsidRPr="00240E30" w:rsidRDefault="001D71AD" w:rsidP="00465EE5">
            <w:pPr>
              <w:rPr>
                <w:sz w:val="18"/>
                <w:szCs w:val="18"/>
                <w:u w:val="single"/>
                <w:lang w:val="en-US"/>
              </w:rPr>
            </w:pPr>
            <w:r w:rsidRPr="00240E30">
              <w:rPr>
                <w:sz w:val="18"/>
                <w:szCs w:val="18"/>
                <w:lang w:val="en-US"/>
              </w:rPr>
              <w:t>Bénin</w:t>
            </w:r>
          </w:p>
          <w:p w:rsidR="001D71AD" w:rsidRPr="00240E30" w:rsidRDefault="001D71AD" w:rsidP="00465EE5">
            <w:pPr>
              <w:rPr>
                <w:sz w:val="18"/>
                <w:szCs w:val="18"/>
                <w:lang w:val="en-US"/>
              </w:rPr>
            </w:pPr>
            <w:r w:rsidRPr="00240E30">
              <w:rPr>
                <w:sz w:val="18"/>
                <w:szCs w:val="18"/>
                <w:lang w:val="en-US"/>
              </w:rPr>
              <w:t>Burkina Faso</w:t>
            </w:r>
          </w:p>
          <w:p w:rsidR="001D71AD" w:rsidRPr="00240E30" w:rsidRDefault="001D71AD" w:rsidP="00465EE5">
            <w:pPr>
              <w:rPr>
                <w:sz w:val="18"/>
                <w:szCs w:val="18"/>
                <w:lang w:val="en-US"/>
              </w:rPr>
            </w:pPr>
            <w:r w:rsidRPr="00240E30">
              <w:rPr>
                <w:sz w:val="18"/>
                <w:szCs w:val="18"/>
                <w:lang w:val="en-US"/>
              </w:rPr>
              <w:t>Burundi</w:t>
            </w:r>
          </w:p>
          <w:p w:rsidR="001D71AD" w:rsidRPr="00AE3D84" w:rsidRDefault="001D71AD" w:rsidP="00465EE5">
            <w:pPr>
              <w:rPr>
                <w:sz w:val="18"/>
                <w:szCs w:val="18"/>
                <w:lang w:val="fr-CA"/>
              </w:rPr>
            </w:pPr>
            <w:r w:rsidRPr="00AE3D84">
              <w:rPr>
                <w:sz w:val="18"/>
                <w:szCs w:val="18"/>
                <w:lang w:val="fr-CA"/>
              </w:rPr>
              <w:t>Cambodge</w:t>
            </w:r>
          </w:p>
          <w:p w:rsidR="001D71AD" w:rsidRPr="00AE3D84" w:rsidRDefault="001D71AD" w:rsidP="00465EE5">
            <w:pPr>
              <w:rPr>
                <w:sz w:val="18"/>
                <w:szCs w:val="18"/>
                <w:lang w:val="fr-CA"/>
              </w:rPr>
            </w:pPr>
            <w:r w:rsidRPr="00AE3D84">
              <w:rPr>
                <w:sz w:val="18"/>
                <w:szCs w:val="18"/>
                <w:lang w:val="fr-CA"/>
              </w:rPr>
              <w:t>Cameroun</w:t>
            </w:r>
          </w:p>
          <w:p w:rsidR="001D71AD" w:rsidRPr="00AE3D84" w:rsidRDefault="001D71AD" w:rsidP="00465EE5">
            <w:pPr>
              <w:rPr>
                <w:sz w:val="18"/>
                <w:szCs w:val="18"/>
                <w:lang w:val="fr-CA"/>
              </w:rPr>
            </w:pPr>
            <w:r w:rsidRPr="00AE3D84">
              <w:rPr>
                <w:sz w:val="18"/>
                <w:szCs w:val="18"/>
                <w:lang w:val="fr-CA"/>
              </w:rPr>
              <w:t>Comores</w:t>
            </w:r>
          </w:p>
          <w:p w:rsidR="001D71AD" w:rsidRPr="00AE3D84" w:rsidRDefault="001D71AD" w:rsidP="00465EE5">
            <w:pPr>
              <w:rPr>
                <w:sz w:val="18"/>
                <w:szCs w:val="18"/>
                <w:lang w:val="fr-CA"/>
              </w:rPr>
            </w:pPr>
            <w:r w:rsidRPr="00AE3D84">
              <w:rPr>
                <w:sz w:val="18"/>
                <w:szCs w:val="18"/>
                <w:lang w:val="fr-CA"/>
              </w:rPr>
              <w:t>Côte d'Ivoire</w:t>
            </w:r>
          </w:p>
          <w:p w:rsidR="001D71AD" w:rsidRPr="00AE3D84" w:rsidRDefault="001D71AD" w:rsidP="00465EE5">
            <w:pPr>
              <w:rPr>
                <w:sz w:val="18"/>
                <w:szCs w:val="18"/>
                <w:lang w:val="fr-CA"/>
              </w:rPr>
            </w:pPr>
            <w:r w:rsidRPr="00AE3D84">
              <w:rPr>
                <w:sz w:val="18"/>
                <w:szCs w:val="18"/>
                <w:lang w:val="fr-CA"/>
              </w:rPr>
              <w:t>Érythrée</w:t>
            </w:r>
          </w:p>
          <w:p w:rsidR="001D71AD" w:rsidRPr="00AE3D84" w:rsidRDefault="001D71AD" w:rsidP="00465EE5">
            <w:pPr>
              <w:rPr>
                <w:sz w:val="18"/>
                <w:szCs w:val="18"/>
                <w:lang w:val="fr-CA"/>
              </w:rPr>
            </w:pPr>
            <w:r w:rsidRPr="00AE3D84">
              <w:rPr>
                <w:sz w:val="18"/>
                <w:szCs w:val="18"/>
                <w:lang w:val="fr-CA"/>
              </w:rPr>
              <w:t>Éthiopie</w:t>
            </w:r>
          </w:p>
          <w:p w:rsidR="001D71AD" w:rsidRPr="00AE3D84" w:rsidRDefault="001D71AD" w:rsidP="00465EE5">
            <w:pPr>
              <w:rPr>
                <w:sz w:val="18"/>
                <w:szCs w:val="18"/>
                <w:lang w:val="fr-CA"/>
              </w:rPr>
            </w:pPr>
            <w:r w:rsidRPr="00AE3D84">
              <w:rPr>
                <w:sz w:val="18"/>
                <w:szCs w:val="18"/>
                <w:lang w:val="fr-CA"/>
              </w:rPr>
              <w:t>Gambie</w:t>
            </w:r>
          </w:p>
          <w:p w:rsidR="001D71AD" w:rsidRPr="00AE3D84" w:rsidRDefault="001D71AD" w:rsidP="00465EE5">
            <w:pPr>
              <w:rPr>
                <w:sz w:val="18"/>
                <w:szCs w:val="18"/>
                <w:lang w:val="fr-CA"/>
              </w:rPr>
            </w:pPr>
            <w:r w:rsidRPr="00AE3D84">
              <w:rPr>
                <w:sz w:val="18"/>
                <w:szCs w:val="18"/>
                <w:lang w:val="fr-CA"/>
              </w:rPr>
              <w:t>Guinée</w:t>
            </w:r>
          </w:p>
          <w:p w:rsidR="001D71AD" w:rsidRPr="00AE3D84" w:rsidRDefault="001D71AD" w:rsidP="00465EE5">
            <w:pPr>
              <w:rPr>
                <w:sz w:val="18"/>
                <w:szCs w:val="18"/>
                <w:lang w:val="fr-CA"/>
              </w:rPr>
            </w:pPr>
            <w:r w:rsidRPr="00AE3D84">
              <w:rPr>
                <w:sz w:val="18"/>
                <w:szCs w:val="18"/>
                <w:lang w:val="fr-CA"/>
              </w:rPr>
              <w:t xml:space="preserve">Guinée-Bissau </w:t>
            </w:r>
          </w:p>
          <w:p w:rsidR="001D71AD" w:rsidRPr="00AE3D84" w:rsidRDefault="001D71AD" w:rsidP="00465EE5">
            <w:pPr>
              <w:rPr>
                <w:sz w:val="18"/>
                <w:szCs w:val="18"/>
                <w:lang w:val="fr-CA"/>
              </w:rPr>
            </w:pPr>
            <w:r w:rsidRPr="00AE3D84">
              <w:rPr>
                <w:sz w:val="18"/>
                <w:szCs w:val="18"/>
                <w:lang w:val="fr-CA"/>
              </w:rPr>
              <w:t>Haïti</w:t>
            </w:r>
          </w:p>
          <w:p w:rsidR="001D71AD" w:rsidRPr="00750078" w:rsidRDefault="001D71AD" w:rsidP="00465EE5">
            <w:pPr>
              <w:rPr>
                <w:sz w:val="18"/>
                <w:szCs w:val="18"/>
                <w:lang w:val="en-US"/>
              </w:rPr>
            </w:pPr>
            <w:r w:rsidRPr="00750078">
              <w:rPr>
                <w:sz w:val="18"/>
                <w:szCs w:val="18"/>
                <w:lang w:val="en-US"/>
              </w:rPr>
              <w:t>Kenya</w:t>
            </w:r>
          </w:p>
          <w:p w:rsidR="001D71AD" w:rsidRPr="00750078" w:rsidRDefault="001D71AD" w:rsidP="00465EE5">
            <w:pPr>
              <w:rPr>
                <w:sz w:val="18"/>
                <w:szCs w:val="18"/>
                <w:lang w:val="en-US"/>
              </w:rPr>
            </w:pPr>
            <w:r w:rsidRPr="00750078">
              <w:rPr>
                <w:sz w:val="18"/>
                <w:szCs w:val="18"/>
                <w:lang w:val="en-US"/>
              </w:rPr>
              <w:t>Lesotho</w:t>
            </w:r>
          </w:p>
          <w:p w:rsidR="001D71AD" w:rsidRPr="00750078" w:rsidRDefault="001D71AD" w:rsidP="00465EE5">
            <w:pPr>
              <w:rPr>
                <w:sz w:val="18"/>
                <w:szCs w:val="18"/>
                <w:lang w:val="en-US"/>
              </w:rPr>
            </w:pPr>
            <w:r w:rsidRPr="00750078">
              <w:rPr>
                <w:sz w:val="18"/>
                <w:szCs w:val="18"/>
                <w:lang w:val="en-US"/>
              </w:rPr>
              <w:t>Liberia</w:t>
            </w:r>
          </w:p>
          <w:p w:rsidR="001D71AD" w:rsidRPr="00750078" w:rsidRDefault="001D71AD" w:rsidP="00465EE5">
            <w:pPr>
              <w:rPr>
                <w:sz w:val="18"/>
                <w:szCs w:val="18"/>
                <w:lang w:val="en-US"/>
              </w:rPr>
            </w:pPr>
            <w:r w:rsidRPr="00750078">
              <w:rPr>
                <w:sz w:val="18"/>
                <w:szCs w:val="18"/>
                <w:lang w:val="en-US"/>
              </w:rPr>
              <w:t xml:space="preserve">Madagascar </w:t>
            </w:r>
          </w:p>
          <w:p w:rsidR="001D71AD" w:rsidRPr="00750078" w:rsidRDefault="001D71AD" w:rsidP="00465EE5">
            <w:pPr>
              <w:rPr>
                <w:sz w:val="18"/>
                <w:szCs w:val="18"/>
                <w:lang w:val="en-US"/>
              </w:rPr>
            </w:pPr>
            <w:r w:rsidRPr="00750078">
              <w:rPr>
                <w:sz w:val="18"/>
                <w:szCs w:val="18"/>
                <w:lang w:val="en-US"/>
              </w:rPr>
              <w:t>Malawi</w:t>
            </w:r>
          </w:p>
          <w:p w:rsidR="001D71AD" w:rsidRPr="00750078" w:rsidRDefault="001D71AD" w:rsidP="00465EE5">
            <w:pPr>
              <w:rPr>
                <w:sz w:val="18"/>
                <w:szCs w:val="18"/>
                <w:lang w:val="en-US"/>
              </w:rPr>
            </w:pPr>
            <w:r w:rsidRPr="00750078">
              <w:rPr>
                <w:sz w:val="18"/>
                <w:szCs w:val="18"/>
                <w:lang w:val="en-US"/>
              </w:rPr>
              <w:t>Mali</w:t>
            </w:r>
          </w:p>
          <w:p w:rsidR="001D71AD" w:rsidRPr="00AE3D84" w:rsidRDefault="001D71AD" w:rsidP="00465EE5">
            <w:pPr>
              <w:rPr>
                <w:sz w:val="18"/>
                <w:szCs w:val="18"/>
                <w:lang w:val="fr-CA"/>
              </w:rPr>
            </w:pPr>
            <w:r w:rsidRPr="00AE3D84">
              <w:rPr>
                <w:sz w:val="18"/>
                <w:szCs w:val="18"/>
                <w:lang w:val="fr-CA"/>
              </w:rPr>
              <w:t>Mauritanie</w:t>
            </w:r>
          </w:p>
          <w:p w:rsidR="001D71AD" w:rsidRPr="00AE3D84" w:rsidRDefault="001D71AD" w:rsidP="00465EE5">
            <w:pPr>
              <w:rPr>
                <w:sz w:val="18"/>
                <w:szCs w:val="18"/>
                <w:lang w:val="fr-CA"/>
              </w:rPr>
            </w:pPr>
            <w:r w:rsidRPr="00AE3D84">
              <w:rPr>
                <w:sz w:val="18"/>
                <w:szCs w:val="18"/>
                <w:lang w:val="fr-CA"/>
              </w:rPr>
              <w:t>Mozambique</w:t>
            </w:r>
          </w:p>
          <w:p w:rsidR="001D71AD" w:rsidRPr="00AE3D84" w:rsidRDefault="001D71AD" w:rsidP="00465EE5">
            <w:pPr>
              <w:rPr>
                <w:sz w:val="18"/>
                <w:szCs w:val="18"/>
                <w:lang w:val="fr-CA"/>
              </w:rPr>
            </w:pPr>
            <w:r w:rsidRPr="00AE3D84">
              <w:rPr>
                <w:sz w:val="18"/>
                <w:szCs w:val="18"/>
                <w:lang w:val="fr-CA"/>
              </w:rPr>
              <w:t xml:space="preserve">Népal </w:t>
            </w:r>
          </w:p>
          <w:p w:rsidR="001D71AD" w:rsidRPr="00AE3D84" w:rsidRDefault="001D71AD" w:rsidP="00465EE5">
            <w:pPr>
              <w:rPr>
                <w:sz w:val="18"/>
                <w:szCs w:val="18"/>
                <w:lang w:val="fr-CA"/>
              </w:rPr>
            </w:pPr>
            <w:r w:rsidRPr="00AE3D84">
              <w:rPr>
                <w:sz w:val="18"/>
                <w:szCs w:val="18"/>
                <w:lang w:val="fr-CA"/>
              </w:rPr>
              <w:t>Niger</w:t>
            </w:r>
          </w:p>
          <w:p w:rsidR="001D71AD" w:rsidRPr="00AE3D84" w:rsidRDefault="001D71AD" w:rsidP="00465EE5">
            <w:pPr>
              <w:rPr>
                <w:sz w:val="18"/>
                <w:szCs w:val="18"/>
                <w:lang w:val="fr-CA"/>
              </w:rPr>
            </w:pPr>
            <w:r w:rsidRPr="00AE3D84">
              <w:rPr>
                <w:sz w:val="18"/>
                <w:szCs w:val="18"/>
                <w:lang w:val="fr-CA"/>
              </w:rPr>
              <w:t>Nigeria</w:t>
            </w:r>
          </w:p>
          <w:p w:rsidR="001D71AD" w:rsidRPr="00AE3D84" w:rsidRDefault="001D71AD" w:rsidP="00465EE5">
            <w:pPr>
              <w:rPr>
                <w:sz w:val="18"/>
                <w:szCs w:val="18"/>
                <w:lang w:val="fr-CA"/>
              </w:rPr>
            </w:pPr>
            <w:r w:rsidRPr="00AE3D84">
              <w:rPr>
                <w:sz w:val="18"/>
                <w:szCs w:val="18"/>
                <w:lang w:val="fr-CA"/>
              </w:rPr>
              <w:t>Ouganda</w:t>
            </w:r>
          </w:p>
          <w:p w:rsidR="001D71AD" w:rsidRPr="00AE3D84" w:rsidRDefault="001D71AD" w:rsidP="00465EE5">
            <w:pPr>
              <w:rPr>
                <w:sz w:val="18"/>
                <w:szCs w:val="18"/>
                <w:lang w:val="fr-CA"/>
              </w:rPr>
            </w:pPr>
            <w:r w:rsidRPr="00AE3D84">
              <w:rPr>
                <w:sz w:val="18"/>
                <w:szCs w:val="18"/>
                <w:lang w:val="fr-CA"/>
              </w:rPr>
              <w:t>République centrafricaine</w:t>
            </w:r>
          </w:p>
          <w:p w:rsidR="001D71AD" w:rsidRPr="00AE3D84" w:rsidRDefault="001D71AD" w:rsidP="00465EE5">
            <w:pPr>
              <w:rPr>
                <w:sz w:val="18"/>
                <w:szCs w:val="18"/>
                <w:lang w:val="fr-CA"/>
              </w:rPr>
            </w:pPr>
            <w:r w:rsidRPr="00AE3D84">
              <w:rPr>
                <w:sz w:val="18"/>
                <w:szCs w:val="18"/>
                <w:lang w:val="fr-CA"/>
              </w:rPr>
              <w:t>République démocratique du Congo</w:t>
            </w:r>
          </w:p>
          <w:p w:rsidR="001D71AD" w:rsidRPr="00AE3D84" w:rsidRDefault="001D71AD" w:rsidP="00465EE5">
            <w:pPr>
              <w:ind w:left="162" w:hanging="162"/>
              <w:rPr>
                <w:sz w:val="18"/>
                <w:szCs w:val="18"/>
                <w:lang w:val="fr-CA"/>
              </w:rPr>
            </w:pPr>
            <w:r w:rsidRPr="00AE3D84">
              <w:rPr>
                <w:sz w:val="18"/>
                <w:szCs w:val="18"/>
                <w:lang w:val="fr-CA"/>
              </w:rPr>
              <w:t>Rwanda</w:t>
            </w:r>
          </w:p>
          <w:p w:rsidR="001D71AD" w:rsidRPr="00AE3D84" w:rsidRDefault="001D71AD" w:rsidP="00465EE5">
            <w:pPr>
              <w:rPr>
                <w:sz w:val="18"/>
                <w:szCs w:val="18"/>
                <w:lang w:val="fr-CA"/>
              </w:rPr>
            </w:pPr>
            <w:r w:rsidRPr="00AE3D84">
              <w:rPr>
                <w:sz w:val="18"/>
                <w:szCs w:val="18"/>
                <w:lang w:val="fr-CA"/>
              </w:rPr>
              <w:t>Sénégal</w:t>
            </w:r>
          </w:p>
          <w:p w:rsidR="001D71AD" w:rsidRPr="00AE3D84" w:rsidRDefault="001D71AD" w:rsidP="00465EE5">
            <w:pPr>
              <w:rPr>
                <w:sz w:val="18"/>
                <w:szCs w:val="18"/>
                <w:lang w:val="fr-CA"/>
              </w:rPr>
            </w:pPr>
            <w:r w:rsidRPr="00AE3D84">
              <w:rPr>
                <w:sz w:val="18"/>
                <w:szCs w:val="18"/>
                <w:lang w:val="fr-CA"/>
              </w:rPr>
              <w:t>Sierra Leone</w:t>
            </w:r>
          </w:p>
          <w:p w:rsidR="001D71AD" w:rsidRPr="00AE3D84" w:rsidRDefault="001D71AD" w:rsidP="00465EE5">
            <w:pPr>
              <w:rPr>
                <w:sz w:val="18"/>
                <w:szCs w:val="18"/>
                <w:lang w:val="fr-CA"/>
              </w:rPr>
            </w:pPr>
            <w:r w:rsidRPr="00AE3D84">
              <w:rPr>
                <w:sz w:val="18"/>
                <w:szCs w:val="18"/>
                <w:lang w:val="fr-CA"/>
              </w:rPr>
              <w:t>Somalie</w:t>
            </w:r>
          </w:p>
          <w:p w:rsidR="001D71AD" w:rsidRPr="00AE3D84" w:rsidRDefault="001D71AD" w:rsidP="00465EE5">
            <w:pPr>
              <w:rPr>
                <w:sz w:val="18"/>
                <w:szCs w:val="18"/>
                <w:lang w:val="fr-CA"/>
              </w:rPr>
            </w:pPr>
            <w:r w:rsidRPr="00AE3D84">
              <w:rPr>
                <w:sz w:val="18"/>
                <w:szCs w:val="18"/>
                <w:lang w:val="fr-CA"/>
              </w:rPr>
              <w:t>Soudan</w:t>
            </w:r>
          </w:p>
          <w:p w:rsidR="001D71AD" w:rsidRPr="00AE3D84" w:rsidRDefault="001D71AD" w:rsidP="00465EE5">
            <w:pPr>
              <w:rPr>
                <w:sz w:val="18"/>
                <w:szCs w:val="18"/>
                <w:lang w:val="fr-CA"/>
              </w:rPr>
            </w:pPr>
            <w:r w:rsidRPr="00AE3D84">
              <w:rPr>
                <w:sz w:val="18"/>
                <w:szCs w:val="18"/>
                <w:lang w:val="fr-CA"/>
              </w:rPr>
              <w:t>Soudan du Sud</w:t>
            </w:r>
          </w:p>
          <w:p w:rsidR="001D71AD" w:rsidRPr="00AE3D84" w:rsidRDefault="001D71AD" w:rsidP="00465EE5">
            <w:pPr>
              <w:rPr>
                <w:sz w:val="18"/>
                <w:szCs w:val="18"/>
                <w:lang w:val="fr-CA"/>
              </w:rPr>
            </w:pPr>
            <w:r w:rsidRPr="00AE3D84">
              <w:rPr>
                <w:sz w:val="18"/>
                <w:szCs w:val="18"/>
                <w:lang w:val="fr-CA"/>
              </w:rPr>
              <w:t>Tanzanie</w:t>
            </w:r>
          </w:p>
          <w:p w:rsidR="001D71AD" w:rsidRPr="00AE3D84" w:rsidRDefault="001D71AD" w:rsidP="00465EE5">
            <w:pPr>
              <w:rPr>
                <w:sz w:val="18"/>
                <w:szCs w:val="18"/>
                <w:lang w:val="fr-CA"/>
              </w:rPr>
            </w:pPr>
            <w:r w:rsidRPr="00AE3D84">
              <w:rPr>
                <w:sz w:val="18"/>
                <w:szCs w:val="18"/>
                <w:lang w:val="fr-CA"/>
              </w:rPr>
              <w:t>Tchad</w:t>
            </w:r>
          </w:p>
          <w:p w:rsidR="001D71AD" w:rsidRPr="00AE3D84" w:rsidRDefault="001D71AD" w:rsidP="00465EE5">
            <w:pPr>
              <w:rPr>
                <w:sz w:val="18"/>
                <w:szCs w:val="18"/>
                <w:lang w:val="fr-CA"/>
              </w:rPr>
            </w:pPr>
            <w:r w:rsidRPr="00AE3D84">
              <w:rPr>
                <w:sz w:val="18"/>
                <w:szCs w:val="18"/>
                <w:lang w:val="fr-CA"/>
              </w:rPr>
              <w:t>Togo</w:t>
            </w:r>
          </w:p>
          <w:p w:rsidR="001D71AD" w:rsidRPr="00AE3D84" w:rsidRDefault="001D71AD" w:rsidP="00465EE5">
            <w:pPr>
              <w:rPr>
                <w:sz w:val="18"/>
                <w:szCs w:val="18"/>
                <w:lang w:val="fr-CA"/>
              </w:rPr>
            </w:pPr>
            <w:r w:rsidRPr="00AE3D84">
              <w:rPr>
                <w:sz w:val="18"/>
                <w:szCs w:val="18"/>
                <w:lang w:val="fr-CA"/>
              </w:rPr>
              <w:t>Zambie</w:t>
            </w:r>
          </w:p>
          <w:p w:rsidR="001D71AD" w:rsidRPr="00AE3D84" w:rsidRDefault="001D71AD" w:rsidP="00465EE5">
            <w:pPr>
              <w:rPr>
                <w:sz w:val="18"/>
                <w:szCs w:val="18"/>
                <w:lang w:val="fr-CA"/>
              </w:rPr>
            </w:pPr>
            <w:r w:rsidRPr="00AE3D84">
              <w:rPr>
                <w:sz w:val="18"/>
                <w:szCs w:val="18"/>
                <w:lang w:val="fr-CA"/>
              </w:rPr>
              <w:t>Zimbabwe</w:t>
            </w:r>
          </w:p>
        </w:tc>
        <w:tc>
          <w:tcPr>
            <w:tcW w:w="2187" w:type="dxa"/>
          </w:tcPr>
          <w:p w:rsidR="001D71AD" w:rsidRPr="00AE3D84" w:rsidRDefault="001D71AD" w:rsidP="00465EE5">
            <w:pPr>
              <w:ind w:left="162" w:hanging="162"/>
              <w:rPr>
                <w:sz w:val="18"/>
                <w:szCs w:val="18"/>
                <w:lang w:val="fr-CA"/>
              </w:rPr>
            </w:pPr>
            <w:r w:rsidRPr="00AE3D84">
              <w:rPr>
                <w:sz w:val="18"/>
                <w:szCs w:val="18"/>
                <w:lang w:val="fr-CA"/>
              </w:rPr>
              <w:t>Angola</w:t>
            </w:r>
          </w:p>
          <w:p w:rsidR="001D71AD" w:rsidRPr="00AE3D84" w:rsidRDefault="001D71AD" w:rsidP="00465EE5">
            <w:pPr>
              <w:ind w:left="162" w:hanging="162"/>
              <w:rPr>
                <w:sz w:val="18"/>
                <w:szCs w:val="18"/>
                <w:lang w:val="fr-CA"/>
              </w:rPr>
            </w:pPr>
            <w:r w:rsidRPr="00AE3D84">
              <w:rPr>
                <w:sz w:val="18"/>
                <w:szCs w:val="18"/>
                <w:lang w:val="fr-CA"/>
              </w:rPr>
              <w:t>Bolivie</w:t>
            </w:r>
          </w:p>
          <w:p w:rsidR="001D71AD" w:rsidRPr="00AE3D84" w:rsidRDefault="001D71AD" w:rsidP="00465EE5">
            <w:pPr>
              <w:ind w:left="162" w:hanging="162"/>
              <w:rPr>
                <w:sz w:val="18"/>
                <w:szCs w:val="18"/>
                <w:lang w:val="fr-CA"/>
              </w:rPr>
            </w:pPr>
            <w:r w:rsidRPr="00AE3D84">
              <w:rPr>
                <w:sz w:val="18"/>
                <w:szCs w:val="18"/>
                <w:lang w:val="fr-CA"/>
              </w:rPr>
              <w:t>Cap-Vert</w:t>
            </w:r>
          </w:p>
          <w:p w:rsidR="001D71AD" w:rsidRPr="00AE3D84" w:rsidRDefault="001D71AD" w:rsidP="00465EE5">
            <w:pPr>
              <w:ind w:left="162" w:hanging="162"/>
              <w:rPr>
                <w:sz w:val="18"/>
                <w:szCs w:val="18"/>
                <w:lang w:val="fr-CA"/>
              </w:rPr>
            </w:pPr>
            <w:r w:rsidRPr="00AE3D84">
              <w:rPr>
                <w:sz w:val="18"/>
                <w:szCs w:val="18"/>
                <w:lang w:val="fr-CA"/>
              </w:rPr>
              <w:t>Ghana</w:t>
            </w:r>
          </w:p>
          <w:p w:rsidR="001D71AD" w:rsidRPr="00AE3D84" w:rsidRDefault="001D71AD" w:rsidP="00465EE5">
            <w:pPr>
              <w:ind w:left="162" w:hanging="162"/>
              <w:rPr>
                <w:sz w:val="18"/>
                <w:szCs w:val="18"/>
                <w:lang w:val="fr-CA"/>
              </w:rPr>
            </w:pPr>
            <w:r w:rsidRPr="00AE3D84">
              <w:rPr>
                <w:sz w:val="18"/>
                <w:szCs w:val="18"/>
                <w:lang w:val="fr-CA"/>
              </w:rPr>
              <w:t>Guatemala</w:t>
            </w:r>
          </w:p>
          <w:p w:rsidR="001D71AD" w:rsidRPr="00AE3D84" w:rsidRDefault="001D71AD" w:rsidP="00465EE5">
            <w:pPr>
              <w:ind w:left="162" w:hanging="162"/>
              <w:rPr>
                <w:sz w:val="18"/>
                <w:szCs w:val="18"/>
                <w:lang w:val="fr-CA"/>
              </w:rPr>
            </w:pPr>
            <w:r w:rsidRPr="00AE3D84">
              <w:rPr>
                <w:sz w:val="18"/>
                <w:szCs w:val="18"/>
                <w:lang w:val="fr-CA"/>
              </w:rPr>
              <w:t>Honduras</w:t>
            </w:r>
          </w:p>
          <w:p w:rsidR="001D71AD" w:rsidRPr="00AE3D84" w:rsidRDefault="001D71AD" w:rsidP="00465EE5">
            <w:pPr>
              <w:ind w:left="162" w:hanging="162"/>
              <w:rPr>
                <w:sz w:val="18"/>
                <w:szCs w:val="18"/>
                <w:lang w:val="fr-CA"/>
              </w:rPr>
            </w:pPr>
            <w:r w:rsidRPr="00AE3D84">
              <w:rPr>
                <w:sz w:val="18"/>
                <w:szCs w:val="18"/>
                <w:lang w:val="fr-CA"/>
              </w:rPr>
              <w:t>Inde</w:t>
            </w:r>
          </w:p>
          <w:p w:rsidR="001D71AD" w:rsidRPr="00AE3D84" w:rsidRDefault="001D71AD" w:rsidP="00465EE5">
            <w:pPr>
              <w:ind w:left="162" w:hanging="162"/>
              <w:rPr>
                <w:sz w:val="18"/>
                <w:szCs w:val="18"/>
                <w:lang w:val="fr-CA"/>
              </w:rPr>
            </w:pPr>
            <w:r w:rsidRPr="00AE3D84">
              <w:rPr>
                <w:sz w:val="18"/>
                <w:szCs w:val="18"/>
                <w:lang w:val="fr-CA"/>
              </w:rPr>
              <w:t>Myanmar</w:t>
            </w:r>
          </w:p>
          <w:p w:rsidR="001D71AD" w:rsidRPr="00AE3D84" w:rsidRDefault="001D71AD" w:rsidP="00465EE5">
            <w:pPr>
              <w:ind w:left="162" w:hanging="162"/>
              <w:rPr>
                <w:sz w:val="18"/>
                <w:szCs w:val="18"/>
                <w:lang w:val="fr-CA"/>
              </w:rPr>
            </w:pPr>
            <w:r w:rsidRPr="00AE3D84">
              <w:rPr>
                <w:sz w:val="18"/>
                <w:szCs w:val="18"/>
                <w:lang w:val="fr-CA"/>
              </w:rPr>
              <w:t>Nicaragua</w:t>
            </w:r>
          </w:p>
          <w:p w:rsidR="001D71AD" w:rsidRPr="00AE3D84" w:rsidRDefault="001D71AD" w:rsidP="00465EE5">
            <w:pPr>
              <w:ind w:left="162" w:hanging="162"/>
              <w:rPr>
                <w:sz w:val="18"/>
                <w:szCs w:val="18"/>
                <w:lang w:val="fr-CA"/>
              </w:rPr>
            </w:pPr>
            <w:r w:rsidRPr="00AE3D84">
              <w:rPr>
                <w:sz w:val="18"/>
                <w:szCs w:val="18"/>
                <w:lang w:val="fr-CA"/>
              </w:rPr>
              <w:t xml:space="preserve">Pakistan </w:t>
            </w:r>
          </w:p>
          <w:p w:rsidR="001D71AD" w:rsidRPr="00AE3D84" w:rsidRDefault="001D71AD" w:rsidP="00465EE5">
            <w:pPr>
              <w:ind w:left="162" w:hanging="162"/>
              <w:rPr>
                <w:sz w:val="18"/>
                <w:szCs w:val="18"/>
                <w:lang w:val="fr-CA"/>
              </w:rPr>
            </w:pPr>
            <w:r w:rsidRPr="00AE3D84">
              <w:rPr>
                <w:sz w:val="18"/>
                <w:szCs w:val="18"/>
                <w:lang w:val="fr-CA"/>
              </w:rPr>
              <w:t>Papouasie-Nouvelle Guinée</w:t>
            </w:r>
          </w:p>
          <w:p w:rsidR="001D71AD" w:rsidRPr="00AE3D84" w:rsidRDefault="001D71AD" w:rsidP="00465EE5">
            <w:pPr>
              <w:ind w:left="162" w:hanging="162"/>
              <w:rPr>
                <w:sz w:val="18"/>
                <w:szCs w:val="18"/>
                <w:lang w:val="fr-CA"/>
              </w:rPr>
            </w:pPr>
            <w:r w:rsidRPr="00AE3D84">
              <w:rPr>
                <w:sz w:val="18"/>
                <w:szCs w:val="18"/>
                <w:lang w:val="fr-CA"/>
              </w:rPr>
              <w:t>Philippines</w:t>
            </w:r>
          </w:p>
          <w:p w:rsidR="001D71AD" w:rsidRPr="00AE3D84" w:rsidRDefault="001D71AD" w:rsidP="00465EE5">
            <w:pPr>
              <w:ind w:left="162" w:hanging="162"/>
              <w:rPr>
                <w:sz w:val="18"/>
                <w:szCs w:val="18"/>
                <w:lang w:val="fr-CA"/>
              </w:rPr>
            </w:pPr>
            <w:r w:rsidRPr="00AE3D84">
              <w:rPr>
                <w:lang w:val="fr-CA"/>
              </w:rPr>
              <w:t>République démocratique populaire lao</w:t>
            </w:r>
          </w:p>
          <w:p w:rsidR="001D71AD" w:rsidRPr="00AE3D84" w:rsidRDefault="001D71AD" w:rsidP="00465EE5">
            <w:pPr>
              <w:ind w:left="162" w:hanging="162"/>
              <w:rPr>
                <w:sz w:val="18"/>
                <w:szCs w:val="18"/>
                <w:lang w:val="fr-CA"/>
              </w:rPr>
            </w:pPr>
            <w:r w:rsidRPr="00AE3D84">
              <w:rPr>
                <w:sz w:val="18"/>
                <w:szCs w:val="18"/>
                <w:lang w:val="fr-CA"/>
              </w:rPr>
              <w:t>République du</w:t>
            </w:r>
            <w:r>
              <w:rPr>
                <w:sz w:val="18"/>
                <w:szCs w:val="18"/>
                <w:lang w:val="fr-CA"/>
              </w:rPr>
              <w:t xml:space="preserve"> Congo</w:t>
            </w:r>
          </w:p>
          <w:p w:rsidR="001D71AD" w:rsidRPr="00AE3D84" w:rsidRDefault="001D71AD" w:rsidP="00465EE5">
            <w:pPr>
              <w:ind w:left="162" w:hanging="162"/>
              <w:rPr>
                <w:sz w:val="18"/>
                <w:szCs w:val="18"/>
                <w:lang w:val="fr-CA"/>
              </w:rPr>
            </w:pPr>
            <w:r w:rsidRPr="00AE3D84">
              <w:rPr>
                <w:sz w:val="18"/>
                <w:szCs w:val="18"/>
                <w:lang w:val="fr-CA"/>
              </w:rPr>
              <w:t>République kirghize</w:t>
            </w:r>
          </w:p>
          <w:p w:rsidR="001D71AD" w:rsidRPr="00AE3D84" w:rsidRDefault="001D71AD" w:rsidP="00465EE5">
            <w:pPr>
              <w:ind w:left="162" w:hanging="162"/>
              <w:rPr>
                <w:sz w:val="18"/>
                <w:szCs w:val="18"/>
                <w:lang w:val="fr-CA"/>
              </w:rPr>
            </w:pPr>
            <w:r w:rsidRPr="00AE3D84">
              <w:rPr>
                <w:sz w:val="18"/>
                <w:szCs w:val="18"/>
                <w:lang w:val="fr-CA"/>
              </w:rPr>
              <w:t xml:space="preserve">République populaire démocratique de Corée </w:t>
            </w:r>
          </w:p>
          <w:p w:rsidR="001D71AD" w:rsidRPr="00AE3D84" w:rsidRDefault="001D71AD" w:rsidP="00465EE5">
            <w:pPr>
              <w:ind w:left="162" w:hanging="162"/>
              <w:rPr>
                <w:sz w:val="18"/>
                <w:szCs w:val="18"/>
                <w:lang w:val="fr-CA"/>
              </w:rPr>
            </w:pPr>
            <w:r w:rsidRPr="00AE3D84">
              <w:rPr>
                <w:sz w:val="18"/>
                <w:szCs w:val="18"/>
                <w:lang w:val="fr-CA"/>
              </w:rPr>
              <w:t>Sao-Tomé et Principe</w:t>
            </w:r>
          </w:p>
          <w:p w:rsidR="001D71AD" w:rsidRPr="00AE3D84" w:rsidRDefault="001D71AD" w:rsidP="00465EE5">
            <w:pPr>
              <w:ind w:left="162" w:hanging="162"/>
              <w:rPr>
                <w:sz w:val="18"/>
                <w:szCs w:val="18"/>
                <w:lang w:val="fr-CA"/>
              </w:rPr>
            </w:pPr>
            <w:r w:rsidRPr="00AE3D84">
              <w:rPr>
                <w:sz w:val="18"/>
                <w:szCs w:val="18"/>
                <w:lang w:val="fr-CA"/>
              </w:rPr>
              <w:t>Swaziland</w:t>
            </w:r>
          </w:p>
          <w:p w:rsidR="001D71AD" w:rsidRPr="00AE3D84" w:rsidRDefault="001D71AD" w:rsidP="00465EE5">
            <w:pPr>
              <w:ind w:left="162" w:hanging="162"/>
              <w:rPr>
                <w:sz w:val="18"/>
                <w:szCs w:val="18"/>
                <w:lang w:val="fr-CA"/>
              </w:rPr>
            </w:pPr>
            <w:r w:rsidRPr="00AE3D84">
              <w:rPr>
                <w:sz w:val="18"/>
                <w:szCs w:val="18"/>
                <w:lang w:val="fr-CA"/>
              </w:rPr>
              <w:t>Tadjikistan</w:t>
            </w:r>
          </w:p>
          <w:p w:rsidR="001D71AD" w:rsidRPr="00AE3D84" w:rsidRDefault="001D71AD" w:rsidP="00465EE5">
            <w:pPr>
              <w:ind w:left="162" w:hanging="162"/>
              <w:rPr>
                <w:sz w:val="18"/>
                <w:szCs w:val="18"/>
                <w:lang w:val="fr-CA"/>
              </w:rPr>
            </w:pPr>
            <w:r w:rsidRPr="00AE3D84">
              <w:rPr>
                <w:sz w:val="18"/>
                <w:szCs w:val="18"/>
                <w:lang w:val="fr-CA"/>
              </w:rPr>
              <w:t>Timor-Leste</w:t>
            </w:r>
          </w:p>
          <w:p w:rsidR="001D71AD" w:rsidRPr="00AE3D84" w:rsidRDefault="001D71AD" w:rsidP="00465EE5">
            <w:pPr>
              <w:ind w:left="162" w:hanging="162"/>
              <w:rPr>
                <w:sz w:val="18"/>
                <w:szCs w:val="18"/>
                <w:lang w:val="fr-CA"/>
              </w:rPr>
            </w:pPr>
            <w:r w:rsidRPr="00AE3D84">
              <w:rPr>
                <w:sz w:val="18"/>
                <w:szCs w:val="18"/>
                <w:lang w:val="fr-CA"/>
              </w:rPr>
              <w:t>Yémen</w:t>
            </w:r>
          </w:p>
        </w:tc>
        <w:tc>
          <w:tcPr>
            <w:tcW w:w="2187" w:type="dxa"/>
          </w:tcPr>
          <w:p w:rsidR="001D71AD" w:rsidRPr="00AE3D84" w:rsidRDefault="001D71AD" w:rsidP="00465EE5">
            <w:pPr>
              <w:rPr>
                <w:sz w:val="18"/>
                <w:szCs w:val="18"/>
                <w:lang w:val="fr-CA"/>
              </w:rPr>
            </w:pPr>
            <w:r w:rsidRPr="00AE3D84">
              <w:rPr>
                <w:sz w:val="18"/>
                <w:szCs w:val="18"/>
                <w:lang w:val="fr-CA"/>
              </w:rPr>
              <w:t>Afrique du Sud</w:t>
            </w:r>
          </w:p>
          <w:p w:rsidR="001D71AD" w:rsidRPr="00AE3D84" w:rsidRDefault="001D71AD" w:rsidP="00465EE5">
            <w:pPr>
              <w:rPr>
                <w:sz w:val="18"/>
                <w:szCs w:val="18"/>
                <w:lang w:val="fr-CA"/>
              </w:rPr>
            </w:pPr>
            <w:r w:rsidRPr="00AE3D84">
              <w:rPr>
                <w:sz w:val="18"/>
                <w:szCs w:val="18"/>
                <w:lang w:val="fr-CA"/>
              </w:rPr>
              <w:t>Bhoutan</w:t>
            </w:r>
          </w:p>
          <w:p w:rsidR="001D71AD" w:rsidRPr="00AE3D84" w:rsidRDefault="001D71AD" w:rsidP="00465EE5">
            <w:pPr>
              <w:rPr>
                <w:sz w:val="18"/>
                <w:szCs w:val="18"/>
                <w:lang w:val="fr-CA"/>
              </w:rPr>
            </w:pPr>
            <w:r w:rsidRPr="00AE3D84">
              <w:rPr>
                <w:sz w:val="18"/>
                <w:szCs w:val="18"/>
                <w:lang w:val="fr-CA"/>
              </w:rPr>
              <w:t>Djibouti</w:t>
            </w:r>
          </w:p>
          <w:p w:rsidR="001D71AD" w:rsidRPr="00AE3D84" w:rsidRDefault="001D71AD" w:rsidP="00465EE5">
            <w:pPr>
              <w:rPr>
                <w:sz w:val="18"/>
                <w:szCs w:val="18"/>
                <w:lang w:val="fr-CA"/>
              </w:rPr>
            </w:pPr>
            <w:r w:rsidRPr="00AE3D84">
              <w:rPr>
                <w:sz w:val="18"/>
                <w:szCs w:val="18"/>
                <w:lang w:val="fr-CA"/>
              </w:rPr>
              <w:t>El Salvador</w:t>
            </w:r>
          </w:p>
          <w:p w:rsidR="001D71AD" w:rsidRPr="00AE3D84" w:rsidRDefault="001D71AD" w:rsidP="00465EE5">
            <w:pPr>
              <w:rPr>
                <w:sz w:val="18"/>
                <w:szCs w:val="18"/>
                <w:lang w:val="fr-CA"/>
              </w:rPr>
            </w:pPr>
            <w:r w:rsidRPr="00AE3D84">
              <w:rPr>
                <w:sz w:val="18"/>
                <w:szCs w:val="18"/>
                <w:lang w:val="fr-CA"/>
              </w:rPr>
              <w:t>État de Palestine</w:t>
            </w:r>
          </w:p>
          <w:p w:rsidR="001D71AD" w:rsidRPr="00AE3D84" w:rsidRDefault="001D71AD" w:rsidP="00465EE5">
            <w:pPr>
              <w:rPr>
                <w:sz w:val="18"/>
                <w:szCs w:val="18"/>
                <w:lang w:val="fr-CA"/>
              </w:rPr>
            </w:pPr>
            <w:r w:rsidRPr="00AE3D84">
              <w:rPr>
                <w:sz w:val="18"/>
                <w:szCs w:val="18"/>
                <w:lang w:val="fr-CA"/>
              </w:rPr>
              <w:t>Gabon</w:t>
            </w:r>
          </w:p>
          <w:p w:rsidR="001D71AD" w:rsidRPr="00AE3D84" w:rsidRDefault="001D71AD" w:rsidP="00465EE5">
            <w:pPr>
              <w:rPr>
                <w:sz w:val="18"/>
                <w:szCs w:val="18"/>
                <w:lang w:val="fr-CA"/>
              </w:rPr>
            </w:pPr>
            <w:r w:rsidRPr="00AE3D84">
              <w:rPr>
                <w:sz w:val="18"/>
                <w:szCs w:val="18"/>
                <w:lang w:val="fr-CA"/>
              </w:rPr>
              <w:t>Géorgie</w:t>
            </w:r>
          </w:p>
          <w:p w:rsidR="001D71AD" w:rsidRPr="00AE3D84" w:rsidRDefault="001D71AD" w:rsidP="00465EE5">
            <w:pPr>
              <w:rPr>
                <w:sz w:val="18"/>
                <w:szCs w:val="18"/>
                <w:lang w:val="fr-CA"/>
              </w:rPr>
            </w:pPr>
            <w:r w:rsidRPr="00AE3D84">
              <w:rPr>
                <w:sz w:val="18"/>
                <w:szCs w:val="18"/>
                <w:lang w:val="fr-CA"/>
              </w:rPr>
              <w:t>Indonésie</w:t>
            </w:r>
          </w:p>
          <w:p w:rsidR="001D71AD" w:rsidRPr="00AE3D84" w:rsidRDefault="001D71AD" w:rsidP="00465EE5">
            <w:pPr>
              <w:rPr>
                <w:sz w:val="18"/>
                <w:szCs w:val="18"/>
                <w:lang w:val="fr-CA"/>
              </w:rPr>
            </w:pPr>
            <w:r w:rsidRPr="00AE3D84">
              <w:rPr>
                <w:sz w:val="18"/>
                <w:szCs w:val="18"/>
                <w:lang w:val="fr-CA"/>
              </w:rPr>
              <w:t>Iraq</w:t>
            </w:r>
          </w:p>
          <w:p w:rsidR="001D71AD" w:rsidRPr="00AE3D84" w:rsidRDefault="001D71AD" w:rsidP="00465EE5">
            <w:pPr>
              <w:rPr>
                <w:sz w:val="18"/>
                <w:szCs w:val="18"/>
                <w:lang w:val="fr-CA"/>
              </w:rPr>
            </w:pPr>
            <w:r w:rsidRPr="00AE3D84">
              <w:rPr>
                <w:sz w:val="18"/>
                <w:szCs w:val="18"/>
                <w:lang w:val="fr-CA"/>
              </w:rPr>
              <w:t>Maroc</w:t>
            </w:r>
          </w:p>
          <w:p w:rsidR="001D71AD" w:rsidRPr="00AE3D84" w:rsidRDefault="001D71AD" w:rsidP="00465EE5">
            <w:pPr>
              <w:rPr>
                <w:sz w:val="18"/>
                <w:szCs w:val="18"/>
                <w:lang w:val="fr-CA"/>
              </w:rPr>
            </w:pPr>
            <w:r w:rsidRPr="00AE3D84">
              <w:rPr>
                <w:sz w:val="18"/>
                <w:szCs w:val="18"/>
                <w:lang w:val="fr-CA"/>
              </w:rPr>
              <w:t>Multi-pays Pacifique</w:t>
            </w:r>
            <w:r w:rsidRPr="00AE3D84">
              <w:rPr>
                <w:rStyle w:val="FootnoteReference"/>
                <w:sz w:val="18"/>
                <w:szCs w:val="18"/>
                <w:vertAlign w:val="superscript"/>
                <w:lang w:val="fr-CA"/>
              </w:rPr>
              <w:footnoteReference w:id="10"/>
            </w:r>
          </w:p>
          <w:p w:rsidR="001D71AD" w:rsidRPr="00AE3D84" w:rsidRDefault="001D71AD" w:rsidP="00465EE5">
            <w:pPr>
              <w:rPr>
                <w:sz w:val="18"/>
                <w:szCs w:val="18"/>
                <w:lang w:val="fr-CA"/>
              </w:rPr>
            </w:pPr>
            <w:r w:rsidRPr="00AE3D84">
              <w:rPr>
                <w:sz w:val="18"/>
                <w:szCs w:val="18"/>
                <w:lang w:val="fr-CA"/>
              </w:rPr>
              <w:t>Namibie</w:t>
            </w:r>
          </w:p>
          <w:p w:rsidR="001D71AD" w:rsidRPr="00AE3D84" w:rsidRDefault="001D71AD" w:rsidP="00465EE5">
            <w:pPr>
              <w:rPr>
                <w:sz w:val="18"/>
                <w:szCs w:val="18"/>
                <w:lang w:val="fr-CA"/>
              </w:rPr>
            </w:pPr>
            <w:r w:rsidRPr="00AE3D84">
              <w:rPr>
                <w:sz w:val="18"/>
                <w:szCs w:val="18"/>
                <w:lang w:val="fr-CA"/>
              </w:rPr>
              <w:t>Panama</w:t>
            </w:r>
          </w:p>
          <w:p w:rsidR="001D71AD" w:rsidRPr="00AE3D84" w:rsidRDefault="001D71AD" w:rsidP="00465EE5">
            <w:pPr>
              <w:rPr>
                <w:sz w:val="18"/>
                <w:szCs w:val="18"/>
                <w:lang w:val="fr-CA"/>
              </w:rPr>
            </w:pPr>
            <w:r w:rsidRPr="00AE3D84">
              <w:rPr>
                <w:sz w:val="18"/>
                <w:szCs w:val="18"/>
                <w:lang w:val="fr-CA"/>
              </w:rPr>
              <w:t>Paraguay</w:t>
            </w:r>
          </w:p>
          <w:p w:rsidR="001D71AD" w:rsidRPr="00AE3D84" w:rsidRDefault="001D71AD" w:rsidP="00465EE5">
            <w:pPr>
              <w:rPr>
                <w:sz w:val="18"/>
                <w:szCs w:val="18"/>
                <w:lang w:val="fr-CA"/>
              </w:rPr>
            </w:pPr>
            <w:r w:rsidRPr="00AE3D84">
              <w:rPr>
                <w:sz w:val="18"/>
                <w:szCs w:val="18"/>
                <w:lang w:val="fr-CA"/>
              </w:rPr>
              <w:t>République arabe d’Égypte</w:t>
            </w:r>
          </w:p>
          <w:p w:rsidR="001D71AD" w:rsidRPr="00AE3D84" w:rsidRDefault="001D71AD" w:rsidP="00465EE5">
            <w:pPr>
              <w:rPr>
                <w:sz w:val="18"/>
                <w:szCs w:val="18"/>
                <w:lang w:val="fr-CA"/>
              </w:rPr>
            </w:pPr>
            <w:r w:rsidRPr="00AE3D84">
              <w:rPr>
                <w:sz w:val="18"/>
                <w:szCs w:val="18"/>
                <w:lang w:val="fr-CA"/>
              </w:rPr>
              <w:t>République arabe syrienne</w:t>
            </w:r>
          </w:p>
          <w:p w:rsidR="001D71AD" w:rsidRPr="00AE3D84" w:rsidRDefault="001D71AD" w:rsidP="00465EE5">
            <w:pPr>
              <w:rPr>
                <w:lang w:val="fr-CA"/>
              </w:rPr>
            </w:pPr>
          </w:p>
        </w:tc>
        <w:tc>
          <w:tcPr>
            <w:tcW w:w="2187" w:type="dxa"/>
          </w:tcPr>
          <w:p w:rsidR="001D71AD" w:rsidRPr="00AE3D84" w:rsidRDefault="001D71AD" w:rsidP="00465EE5">
            <w:pPr>
              <w:rPr>
                <w:sz w:val="18"/>
                <w:szCs w:val="18"/>
                <w:lang w:val="fr-CA"/>
              </w:rPr>
            </w:pPr>
            <w:r w:rsidRPr="00AE3D84">
              <w:rPr>
                <w:sz w:val="18"/>
                <w:szCs w:val="18"/>
                <w:lang w:val="fr-CA"/>
              </w:rPr>
              <w:t>Albanie</w:t>
            </w:r>
          </w:p>
          <w:p w:rsidR="001D71AD" w:rsidRPr="00AE3D84" w:rsidRDefault="001D71AD" w:rsidP="00465EE5">
            <w:pPr>
              <w:rPr>
                <w:sz w:val="18"/>
                <w:szCs w:val="18"/>
                <w:lang w:val="fr-CA"/>
              </w:rPr>
            </w:pPr>
            <w:r w:rsidRPr="00AE3D84">
              <w:rPr>
                <w:sz w:val="18"/>
                <w:szCs w:val="18"/>
                <w:lang w:val="fr-CA"/>
              </w:rPr>
              <w:t>Algérie</w:t>
            </w:r>
          </w:p>
          <w:p w:rsidR="001D71AD" w:rsidRPr="00AE3D84" w:rsidRDefault="001D71AD" w:rsidP="00465EE5">
            <w:pPr>
              <w:rPr>
                <w:sz w:val="18"/>
                <w:szCs w:val="18"/>
                <w:lang w:val="fr-CA"/>
              </w:rPr>
            </w:pPr>
            <w:r w:rsidRPr="00AE3D84">
              <w:rPr>
                <w:sz w:val="18"/>
                <w:szCs w:val="18"/>
                <w:lang w:val="fr-CA"/>
              </w:rPr>
              <w:t>Argentine</w:t>
            </w:r>
          </w:p>
          <w:p w:rsidR="001D71AD" w:rsidRPr="00AE3D84" w:rsidRDefault="001D71AD" w:rsidP="00465EE5">
            <w:pPr>
              <w:rPr>
                <w:sz w:val="18"/>
                <w:szCs w:val="18"/>
                <w:lang w:val="fr-CA"/>
              </w:rPr>
            </w:pPr>
            <w:r w:rsidRPr="00AE3D84">
              <w:rPr>
                <w:sz w:val="18"/>
                <w:szCs w:val="18"/>
                <w:lang w:val="fr-CA"/>
              </w:rPr>
              <w:t>Arménie</w:t>
            </w:r>
          </w:p>
          <w:p w:rsidR="001D71AD" w:rsidRPr="00AE3D84" w:rsidRDefault="001D71AD" w:rsidP="00465EE5">
            <w:pPr>
              <w:rPr>
                <w:sz w:val="18"/>
                <w:szCs w:val="18"/>
                <w:lang w:val="fr-CA"/>
              </w:rPr>
            </w:pPr>
            <w:r w:rsidRPr="00AE3D84">
              <w:rPr>
                <w:sz w:val="18"/>
                <w:szCs w:val="18"/>
                <w:lang w:val="fr-CA"/>
              </w:rPr>
              <w:t>Azerbaïdjan</w:t>
            </w:r>
          </w:p>
          <w:p w:rsidR="001D71AD" w:rsidRPr="00AE3D84" w:rsidRDefault="001D71AD" w:rsidP="00465EE5">
            <w:pPr>
              <w:rPr>
                <w:sz w:val="18"/>
                <w:szCs w:val="18"/>
                <w:lang w:val="fr-CA"/>
              </w:rPr>
            </w:pPr>
            <w:r w:rsidRPr="00AE3D84">
              <w:rPr>
                <w:sz w:val="18"/>
                <w:szCs w:val="18"/>
                <w:lang w:val="fr-CA"/>
              </w:rPr>
              <w:t>Bélarus</w:t>
            </w:r>
          </w:p>
          <w:p w:rsidR="001D71AD" w:rsidRPr="00AE3D84" w:rsidRDefault="001D71AD" w:rsidP="00465EE5">
            <w:pPr>
              <w:rPr>
                <w:sz w:val="18"/>
                <w:szCs w:val="18"/>
                <w:lang w:val="fr-CA"/>
              </w:rPr>
            </w:pPr>
            <w:r w:rsidRPr="00AE3D84">
              <w:rPr>
                <w:sz w:val="18"/>
                <w:szCs w:val="18"/>
                <w:lang w:val="fr-CA"/>
              </w:rPr>
              <w:t>Bosnie-Herzégovine</w:t>
            </w:r>
          </w:p>
          <w:p w:rsidR="001D71AD" w:rsidRPr="00AE3D84" w:rsidRDefault="001D71AD" w:rsidP="00465EE5">
            <w:pPr>
              <w:rPr>
                <w:sz w:val="18"/>
                <w:szCs w:val="18"/>
                <w:lang w:val="fr-CA"/>
              </w:rPr>
            </w:pPr>
            <w:r w:rsidRPr="00AE3D84">
              <w:rPr>
                <w:sz w:val="18"/>
                <w:szCs w:val="18"/>
                <w:lang w:val="fr-CA"/>
              </w:rPr>
              <w:t>Botswana</w:t>
            </w:r>
          </w:p>
          <w:p w:rsidR="001D71AD" w:rsidRPr="00AE3D84" w:rsidRDefault="001D71AD" w:rsidP="00465EE5">
            <w:pPr>
              <w:rPr>
                <w:sz w:val="18"/>
                <w:szCs w:val="18"/>
                <w:lang w:val="fr-CA"/>
              </w:rPr>
            </w:pPr>
            <w:r w:rsidRPr="00AE3D84">
              <w:rPr>
                <w:sz w:val="18"/>
                <w:szCs w:val="18"/>
                <w:lang w:val="fr-CA"/>
              </w:rPr>
              <w:t>Brésil</w:t>
            </w:r>
          </w:p>
          <w:p w:rsidR="001D71AD" w:rsidRPr="00AE3D84" w:rsidRDefault="001D71AD" w:rsidP="00465EE5">
            <w:pPr>
              <w:rPr>
                <w:sz w:val="18"/>
                <w:szCs w:val="18"/>
                <w:lang w:val="fr-CA"/>
              </w:rPr>
            </w:pPr>
            <w:r w:rsidRPr="00AE3D84">
              <w:rPr>
                <w:sz w:val="18"/>
                <w:szCs w:val="18"/>
                <w:lang w:val="fr-CA"/>
              </w:rPr>
              <w:t>Chili</w:t>
            </w:r>
          </w:p>
          <w:p w:rsidR="001D71AD" w:rsidRPr="00AE3D84" w:rsidRDefault="001D71AD" w:rsidP="00465EE5">
            <w:pPr>
              <w:rPr>
                <w:sz w:val="18"/>
                <w:szCs w:val="18"/>
                <w:lang w:val="fr-CA"/>
              </w:rPr>
            </w:pPr>
            <w:r w:rsidRPr="00AE3D84">
              <w:rPr>
                <w:sz w:val="18"/>
                <w:szCs w:val="18"/>
                <w:lang w:val="fr-CA"/>
              </w:rPr>
              <w:t>Chine</w:t>
            </w:r>
          </w:p>
          <w:p w:rsidR="001D71AD" w:rsidRPr="00AE3D84" w:rsidRDefault="001D71AD" w:rsidP="00465EE5">
            <w:pPr>
              <w:rPr>
                <w:sz w:val="18"/>
                <w:szCs w:val="18"/>
                <w:lang w:val="fr-CA"/>
              </w:rPr>
            </w:pPr>
            <w:r w:rsidRPr="00AE3D84">
              <w:rPr>
                <w:sz w:val="18"/>
                <w:szCs w:val="18"/>
                <w:lang w:val="fr-CA"/>
              </w:rPr>
              <w:t>Colombie</w:t>
            </w:r>
          </w:p>
          <w:p w:rsidR="001D71AD" w:rsidRPr="00AE3D84" w:rsidRDefault="001D71AD" w:rsidP="00465EE5">
            <w:pPr>
              <w:rPr>
                <w:sz w:val="18"/>
                <w:szCs w:val="18"/>
                <w:lang w:val="fr-CA"/>
              </w:rPr>
            </w:pPr>
            <w:r w:rsidRPr="00AE3D84">
              <w:rPr>
                <w:sz w:val="18"/>
                <w:szCs w:val="18"/>
                <w:lang w:val="fr-CA"/>
              </w:rPr>
              <w:t>Costa Rica</w:t>
            </w:r>
          </w:p>
          <w:p w:rsidR="001D71AD" w:rsidRPr="00AE3D84" w:rsidRDefault="001D71AD" w:rsidP="00465EE5">
            <w:pPr>
              <w:rPr>
                <w:sz w:val="18"/>
                <w:szCs w:val="18"/>
                <w:lang w:val="fr-CA"/>
              </w:rPr>
            </w:pPr>
            <w:r w:rsidRPr="00AE3D84">
              <w:rPr>
                <w:sz w:val="18"/>
                <w:szCs w:val="18"/>
                <w:lang w:val="fr-CA"/>
              </w:rPr>
              <w:t>Cuba</w:t>
            </w:r>
          </w:p>
          <w:p w:rsidR="001D71AD" w:rsidRPr="00AE3D84" w:rsidRDefault="001D71AD" w:rsidP="00465EE5">
            <w:pPr>
              <w:rPr>
                <w:sz w:val="18"/>
                <w:szCs w:val="18"/>
                <w:lang w:val="fr-CA"/>
              </w:rPr>
            </w:pPr>
            <w:r w:rsidRPr="00AE3D84">
              <w:rPr>
                <w:sz w:val="18"/>
                <w:szCs w:val="18"/>
                <w:lang w:val="fr-CA"/>
              </w:rPr>
              <w:t>Équateur</w:t>
            </w:r>
          </w:p>
          <w:p w:rsidR="001D71AD" w:rsidRPr="00AE3D84" w:rsidRDefault="001D71AD" w:rsidP="00465EE5">
            <w:pPr>
              <w:rPr>
                <w:sz w:val="18"/>
                <w:szCs w:val="18"/>
                <w:lang w:val="fr-CA"/>
              </w:rPr>
            </w:pPr>
            <w:r w:rsidRPr="00AE3D84">
              <w:rPr>
                <w:sz w:val="18"/>
                <w:szCs w:val="18"/>
                <w:lang w:val="fr-CA"/>
              </w:rPr>
              <w:t>Guinée équatoriale</w:t>
            </w:r>
          </w:p>
          <w:p w:rsidR="001D71AD" w:rsidRPr="00AE3D84" w:rsidRDefault="001D71AD" w:rsidP="00465EE5">
            <w:pPr>
              <w:rPr>
                <w:sz w:val="18"/>
                <w:szCs w:val="18"/>
                <w:lang w:val="fr-CA"/>
              </w:rPr>
            </w:pPr>
            <w:r w:rsidRPr="00AE3D84">
              <w:rPr>
                <w:sz w:val="18"/>
                <w:szCs w:val="18"/>
                <w:lang w:val="fr-CA"/>
              </w:rPr>
              <w:t>Jordanie</w:t>
            </w:r>
          </w:p>
          <w:p w:rsidR="001D71AD" w:rsidRPr="00AE3D84" w:rsidRDefault="001D71AD" w:rsidP="00465EE5">
            <w:pPr>
              <w:rPr>
                <w:sz w:val="18"/>
                <w:szCs w:val="18"/>
                <w:lang w:val="fr-CA"/>
              </w:rPr>
            </w:pPr>
            <w:r w:rsidRPr="00AE3D84">
              <w:rPr>
                <w:sz w:val="18"/>
                <w:szCs w:val="18"/>
                <w:lang w:val="fr-CA"/>
              </w:rPr>
              <w:t>Kazakhstan</w:t>
            </w:r>
          </w:p>
          <w:p w:rsidR="001D71AD" w:rsidRPr="00AE3D84" w:rsidRDefault="001D71AD" w:rsidP="00465EE5">
            <w:pPr>
              <w:rPr>
                <w:sz w:val="18"/>
                <w:szCs w:val="18"/>
                <w:lang w:val="fr-CA"/>
              </w:rPr>
            </w:pPr>
            <w:r w:rsidRPr="00AE3D84">
              <w:rPr>
                <w:sz w:val="18"/>
                <w:szCs w:val="18"/>
                <w:lang w:val="fr-CA"/>
              </w:rPr>
              <w:t>Kosovo</w:t>
            </w:r>
          </w:p>
          <w:p w:rsidR="001D71AD" w:rsidRPr="00AE3D84" w:rsidRDefault="001D71AD" w:rsidP="00465EE5">
            <w:pPr>
              <w:rPr>
                <w:sz w:val="18"/>
                <w:szCs w:val="18"/>
                <w:lang w:val="fr-CA"/>
              </w:rPr>
            </w:pPr>
            <w:r w:rsidRPr="00AE3D84">
              <w:rPr>
                <w:sz w:val="18"/>
                <w:szCs w:val="18"/>
                <w:lang w:val="fr-CA"/>
              </w:rPr>
              <w:t>Liban</w:t>
            </w:r>
          </w:p>
          <w:p w:rsidR="001D71AD" w:rsidRPr="00AE3D84" w:rsidRDefault="001D71AD" w:rsidP="00465EE5">
            <w:pPr>
              <w:rPr>
                <w:sz w:val="18"/>
                <w:szCs w:val="18"/>
                <w:lang w:val="fr-CA"/>
              </w:rPr>
            </w:pPr>
            <w:r w:rsidRPr="00AE3D84">
              <w:rPr>
                <w:sz w:val="18"/>
                <w:szCs w:val="18"/>
                <w:lang w:val="fr-CA"/>
              </w:rPr>
              <w:t>Libye</w:t>
            </w:r>
          </w:p>
          <w:p w:rsidR="001D71AD" w:rsidRPr="00AE3D84" w:rsidRDefault="001D71AD" w:rsidP="00465EE5">
            <w:pPr>
              <w:rPr>
                <w:sz w:val="18"/>
                <w:szCs w:val="18"/>
                <w:lang w:val="fr-CA"/>
              </w:rPr>
            </w:pPr>
            <w:r w:rsidRPr="00AE3D84">
              <w:rPr>
                <w:sz w:val="18"/>
                <w:szCs w:val="18"/>
                <w:lang w:val="fr-CA"/>
              </w:rPr>
              <w:t>Macédoine</w:t>
            </w:r>
          </w:p>
          <w:p w:rsidR="001D71AD" w:rsidRPr="00AE3D84" w:rsidRDefault="001D71AD" w:rsidP="00465EE5">
            <w:pPr>
              <w:rPr>
                <w:sz w:val="18"/>
                <w:szCs w:val="18"/>
                <w:lang w:val="fr-CA"/>
              </w:rPr>
            </w:pPr>
            <w:r w:rsidRPr="00AE3D84">
              <w:rPr>
                <w:sz w:val="18"/>
                <w:szCs w:val="18"/>
                <w:lang w:val="fr-CA"/>
              </w:rPr>
              <w:t>Malaisie</w:t>
            </w:r>
          </w:p>
          <w:p w:rsidR="001D71AD" w:rsidRPr="00AE3D84" w:rsidRDefault="001D71AD" w:rsidP="00465EE5">
            <w:pPr>
              <w:rPr>
                <w:sz w:val="18"/>
                <w:szCs w:val="18"/>
                <w:lang w:val="fr-CA"/>
              </w:rPr>
            </w:pPr>
            <w:r w:rsidRPr="00AE3D84">
              <w:rPr>
                <w:sz w:val="18"/>
                <w:szCs w:val="18"/>
                <w:lang w:val="fr-CA"/>
              </w:rPr>
              <w:t>Maldives</w:t>
            </w:r>
          </w:p>
          <w:p w:rsidR="001D71AD" w:rsidRPr="00AE3D84" w:rsidRDefault="001D71AD" w:rsidP="00465EE5">
            <w:pPr>
              <w:rPr>
                <w:sz w:val="18"/>
                <w:szCs w:val="18"/>
                <w:lang w:val="fr-CA"/>
              </w:rPr>
            </w:pPr>
            <w:r w:rsidRPr="00AE3D84">
              <w:rPr>
                <w:sz w:val="18"/>
                <w:szCs w:val="18"/>
                <w:lang w:val="fr-CA"/>
              </w:rPr>
              <w:t>Maurice</w:t>
            </w:r>
          </w:p>
          <w:p w:rsidR="001D71AD" w:rsidRPr="00AE3D84" w:rsidRDefault="001D71AD" w:rsidP="00465EE5">
            <w:pPr>
              <w:rPr>
                <w:sz w:val="18"/>
                <w:szCs w:val="18"/>
                <w:lang w:val="fr-CA"/>
              </w:rPr>
            </w:pPr>
            <w:r w:rsidRPr="00AE3D84">
              <w:rPr>
                <w:sz w:val="18"/>
                <w:szCs w:val="18"/>
                <w:lang w:val="fr-CA"/>
              </w:rPr>
              <w:t>Mexique</w:t>
            </w:r>
          </w:p>
          <w:p w:rsidR="001D71AD" w:rsidRPr="00AE3D84" w:rsidRDefault="001D71AD" w:rsidP="00465EE5">
            <w:pPr>
              <w:rPr>
                <w:sz w:val="18"/>
                <w:szCs w:val="18"/>
                <w:lang w:val="fr-CA"/>
              </w:rPr>
            </w:pPr>
            <w:r w:rsidRPr="00AE3D84">
              <w:rPr>
                <w:sz w:val="18"/>
                <w:szCs w:val="18"/>
                <w:lang w:val="fr-CA"/>
              </w:rPr>
              <w:t>Moldova</w:t>
            </w:r>
          </w:p>
          <w:p w:rsidR="001D71AD" w:rsidRPr="00AE3D84" w:rsidRDefault="001D71AD" w:rsidP="00465EE5">
            <w:pPr>
              <w:rPr>
                <w:sz w:val="18"/>
                <w:szCs w:val="18"/>
                <w:lang w:val="fr-CA"/>
              </w:rPr>
            </w:pPr>
            <w:r w:rsidRPr="00AE3D84">
              <w:rPr>
                <w:sz w:val="18"/>
                <w:szCs w:val="18"/>
                <w:lang w:val="fr-CA"/>
              </w:rPr>
              <w:t>Mongolie</w:t>
            </w:r>
          </w:p>
          <w:p w:rsidR="001D71AD" w:rsidRPr="00AE3D84" w:rsidRDefault="001D71AD" w:rsidP="00465EE5">
            <w:pPr>
              <w:rPr>
                <w:sz w:val="18"/>
                <w:szCs w:val="18"/>
                <w:lang w:val="fr-CA"/>
              </w:rPr>
            </w:pPr>
            <w:r w:rsidRPr="00AE3D84">
              <w:rPr>
                <w:sz w:val="18"/>
                <w:szCs w:val="18"/>
                <w:lang w:val="fr-CA"/>
              </w:rPr>
              <w:t>Multi-pays Caraïbes</w:t>
            </w:r>
            <w:r w:rsidRPr="00AE3D84">
              <w:rPr>
                <w:rStyle w:val="FootnoteReference"/>
                <w:sz w:val="18"/>
                <w:szCs w:val="18"/>
                <w:vertAlign w:val="superscript"/>
                <w:lang w:val="fr-CA"/>
              </w:rPr>
              <w:footnoteReference w:id="11"/>
            </w:r>
          </w:p>
          <w:p w:rsidR="001D71AD" w:rsidRPr="00AE3D84" w:rsidRDefault="001D71AD" w:rsidP="00465EE5">
            <w:pPr>
              <w:rPr>
                <w:sz w:val="18"/>
                <w:szCs w:val="18"/>
                <w:lang w:val="fr-CA"/>
              </w:rPr>
            </w:pPr>
            <w:r w:rsidRPr="00AE3D84">
              <w:rPr>
                <w:sz w:val="18"/>
                <w:szCs w:val="18"/>
                <w:lang w:val="fr-CA"/>
              </w:rPr>
              <w:t>Oman</w:t>
            </w:r>
          </w:p>
          <w:p w:rsidR="001D71AD" w:rsidRPr="00AE3D84" w:rsidRDefault="001D71AD" w:rsidP="00465EE5">
            <w:pPr>
              <w:rPr>
                <w:sz w:val="18"/>
                <w:szCs w:val="18"/>
                <w:lang w:val="fr-CA"/>
              </w:rPr>
            </w:pPr>
            <w:r>
              <w:rPr>
                <w:sz w:val="18"/>
                <w:szCs w:val="18"/>
                <w:lang w:val="fr-CA"/>
              </w:rPr>
              <w:t>Ou</w:t>
            </w:r>
            <w:r w:rsidRPr="00AE3D84">
              <w:rPr>
                <w:sz w:val="18"/>
                <w:szCs w:val="18"/>
                <w:lang w:val="fr-CA"/>
              </w:rPr>
              <w:t>zbékistan</w:t>
            </w:r>
          </w:p>
          <w:p w:rsidR="001D71AD" w:rsidRPr="00AE3D84" w:rsidRDefault="001D71AD" w:rsidP="00465EE5">
            <w:pPr>
              <w:rPr>
                <w:sz w:val="18"/>
                <w:szCs w:val="18"/>
                <w:lang w:val="fr-CA"/>
              </w:rPr>
            </w:pPr>
            <w:r w:rsidRPr="00AE3D84">
              <w:rPr>
                <w:sz w:val="18"/>
                <w:szCs w:val="18"/>
                <w:lang w:val="fr-CA"/>
              </w:rPr>
              <w:t>Pérou</w:t>
            </w:r>
          </w:p>
          <w:p w:rsidR="001D71AD" w:rsidRPr="00AE3D84" w:rsidRDefault="001D71AD" w:rsidP="00465EE5">
            <w:pPr>
              <w:rPr>
                <w:sz w:val="18"/>
                <w:szCs w:val="18"/>
                <w:lang w:val="fr-CA"/>
              </w:rPr>
            </w:pPr>
            <w:r w:rsidRPr="00AE3D84">
              <w:rPr>
                <w:sz w:val="18"/>
                <w:szCs w:val="18"/>
                <w:lang w:val="fr-CA"/>
              </w:rPr>
              <w:t xml:space="preserve">République dominicaine </w:t>
            </w:r>
          </w:p>
          <w:p w:rsidR="001D71AD" w:rsidRPr="00AE3D84" w:rsidRDefault="001D71AD" w:rsidP="00465EE5">
            <w:pPr>
              <w:rPr>
                <w:sz w:val="18"/>
                <w:szCs w:val="18"/>
                <w:lang w:val="fr-CA"/>
              </w:rPr>
            </w:pPr>
            <w:r w:rsidRPr="00AE3D84">
              <w:rPr>
                <w:sz w:val="18"/>
                <w:szCs w:val="18"/>
                <w:lang w:val="fr-CA"/>
              </w:rPr>
              <w:t>République islamique d’Iran</w:t>
            </w:r>
          </w:p>
          <w:p w:rsidR="001D71AD" w:rsidRPr="00AE3D84" w:rsidRDefault="001D71AD" w:rsidP="00465EE5">
            <w:pPr>
              <w:rPr>
                <w:sz w:val="18"/>
                <w:szCs w:val="18"/>
                <w:lang w:val="fr-CA"/>
              </w:rPr>
            </w:pPr>
            <w:r w:rsidRPr="00AE3D84">
              <w:rPr>
                <w:sz w:val="18"/>
                <w:szCs w:val="18"/>
                <w:lang w:val="fr-CA"/>
              </w:rPr>
              <w:t>Serbie</w:t>
            </w:r>
          </w:p>
          <w:p w:rsidR="001D71AD" w:rsidRPr="00AE3D84" w:rsidRDefault="001D71AD" w:rsidP="00465EE5">
            <w:pPr>
              <w:rPr>
                <w:sz w:val="18"/>
                <w:szCs w:val="18"/>
                <w:lang w:val="fr-CA"/>
              </w:rPr>
            </w:pPr>
            <w:r w:rsidRPr="00AE3D84">
              <w:rPr>
                <w:sz w:val="18"/>
                <w:szCs w:val="18"/>
                <w:lang w:val="fr-CA"/>
              </w:rPr>
              <w:t>Sri Lanka</w:t>
            </w:r>
          </w:p>
          <w:p w:rsidR="001D71AD" w:rsidRPr="00AE3D84" w:rsidRDefault="001D71AD" w:rsidP="00465EE5">
            <w:pPr>
              <w:rPr>
                <w:sz w:val="18"/>
                <w:szCs w:val="18"/>
                <w:lang w:val="fr-CA"/>
              </w:rPr>
            </w:pPr>
            <w:r w:rsidRPr="00AE3D84">
              <w:rPr>
                <w:sz w:val="18"/>
                <w:szCs w:val="18"/>
                <w:lang w:val="fr-CA"/>
              </w:rPr>
              <w:t>Thaïlande</w:t>
            </w:r>
          </w:p>
          <w:p w:rsidR="001D71AD" w:rsidRPr="00AE3D84" w:rsidRDefault="001D71AD" w:rsidP="00465EE5">
            <w:pPr>
              <w:rPr>
                <w:sz w:val="18"/>
                <w:szCs w:val="18"/>
                <w:lang w:val="fr-CA"/>
              </w:rPr>
            </w:pPr>
            <w:r w:rsidRPr="00AE3D84">
              <w:rPr>
                <w:sz w:val="18"/>
                <w:szCs w:val="18"/>
                <w:lang w:val="fr-CA"/>
              </w:rPr>
              <w:t>Tunisie</w:t>
            </w:r>
          </w:p>
          <w:p w:rsidR="001D71AD" w:rsidRPr="00AE3D84" w:rsidRDefault="001D71AD" w:rsidP="00465EE5">
            <w:pPr>
              <w:rPr>
                <w:sz w:val="18"/>
                <w:szCs w:val="18"/>
                <w:lang w:val="fr-CA"/>
              </w:rPr>
            </w:pPr>
            <w:r w:rsidRPr="00AE3D84">
              <w:rPr>
                <w:sz w:val="18"/>
                <w:szCs w:val="18"/>
                <w:lang w:val="fr-CA"/>
              </w:rPr>
              <w:t>Turkménistan</w:t>
            </w:r>
          </w:p>
          <w:p w:rsidR="001D71AD" w:rsidRPr="00AE3D84" w:rsidRDefault="001D71AD" w:rsidP="00465EE5">
            <w:pPr>
              <w:rPr>
                <w:sz w:val="18"/>
                <w:szCs w:val="18"/>
                <w:lang w:val="fr-CA"/>
              </w:rPr>
            </w:pPr>
            <w:r w:rsidRPr="00AE3D84">
              <w:rPr>
                <w:sz w:val="18"/>
                <w:szCs w:val="18"/>
                <w:lang w:val="fr-CA"/>
              </w:rPr>
              <w:t>Turquie</w:t>
            </w:r>
          </w:p>
          <w:p w:rsidR="001D71AD" w:rsidRPr="00AE3D84" w:rsidRDefault="001D71AD" w:rsidP="00465EE5">
            <w:pPr>
              <w:rPr>
                <w:sz w:val="18"/>
                <w:szCs w:val="18"/>
                <w:lang w:val="fr-CA"/>
              </w:rPr>
            </w:pPr>
            <w:r w:rsidRPr="00AE3D84">
              <w:rPr>
                <w:sz w:val="18"/>
                <w:szCs w:val="18"/>
                <w:lang w:val="fr-CA"/>
              </w:rPr>
              <w:t>Ukraine</w:t>
            </w:r>
          </w:p>
          <w:p w:rsidR="001D71AD" w:rsidRPr="00AE3D84" w:rsidRDefault="001D71AD" w:rsidP="00465EE5">
            <w:pPr>
              <w:rPr>
                <w:sz w:val="18"/>
                <w:szCs w:val="18"/>
                <w:lang w:val="fr-CA"/>
              </w:rPr>
            </w:pPr>
            <w:r w:rsidRPr="00AE3D84">
              <w:rPr>
                <w:sz w:val="18"/>
                <w:szCs w:val="18"/>
                <w:lang w:val="fr-CA"/>
              </w:rPr>
              <w:t>Uruguay</w:t>
            </w:r>
          </w:p>
          <w:p w:rsidR="001D71AD" w:rsidRPr="00AE3D84" w:rsidRDefault="001D71AD" w:rsidP="00465EE5">
            <w:pPr>
              <w:rPr>
                <w:sz w:val="18"/>
                <w:szCs w:val="18"/>
                <w:lang w:val="fr-CA"/>
              </w:rPr>
            </w:pPr>
            <w:r w:rsidRPr="00AE3D84">
              <w:rPr>
                <w:sz w:val="18"/>
                <w:szCs w:val="18"/>
                <w:lang w:val="fr-CA"/>
              </w:rPr>
              <w:t>Venezuela</w:t>
            </w:r>
          </w:p>
          <w:p w:rsidR="001D71AD" w:rsidRPr="00AE3D84" w:rsidRDefault="001D71AD" w:rsidP="00640845">
            <w:pPr>
              <w:rPr>
                <w:lang w:val="fr-CA"/>
              </w:rPr>
            </w:pPr>
            <w:r w:rsidRPr="00AE3D84">
              <w:rPr>
                <w:sz w:val="18"/>
                <w:szCs w:val="18"/>
                <w:lang w:val="fr-CA"/>
              </w:rPr>
              <w:t>Viet Nam</w:t>
            </w:r>
          </w:p>
        </w:tc>
      </w:tr>
    </w:tbl>
    <w:p w:rsidR="001D71AD" w:rsidRPr="00640845" w:rsidRDefault="001D71AD" w:rsidP="00394F8A">
      <w:pPr>
        <w:ind w:left="1080" w:right="720"/>
        <w:jc w:val="both"/>
        <w:rPr>
          <w:lang w:val="fr-FR"/>
        </w:rPr>
      </w:pPr>
    </w:p>
    <w:p w:rsidR="001D71AD" w:rsidRPr="00640845" w:rsidRDefault="001D71AD" w:rsidP="00394F8A">
      <w:pPr>
        <w:ind w:left="1080" w:right="720"/>
        <w:jc w:val="both"/>
        <w:rPr>
          <w:lang w:val="fr-FR"/>
        </w:rPr>
      </w:pPr>
    </w:p>
    <w:p w:rsidR="001D71AD" w:rsidRPr="00640845" w:rsidRDefault="001D71AD" w:rsidP="00394F8A">
      <w:pPr>
        <w:ind w:left="1080" w:right="720"/>
        <w:jc w:val="both"/>
        <w:rPr>
          <w:lang w:val="fr-FR"/>
        </w:rPr>
        <w:sectPr w:rsidR="001D71AD" w:rsidRPr="00640845">
          <w:headerReference w:type="even" r:id="rId22"/>
          <w:headerReference w:type="default" r:id="rId23"/>
          <w:footerReference w:type="even" r:id="rId24"/>
          <w:footerReference w:type="default" r:id="rId25"/>
          <w:footnotePr>
            <w:numFmt w:val="chicago"/>
          </w:footnotePr>
          <w:pgSz w:w="12240" w:h="15840" w:code="1"/>
          <w:pgMar w:top="1728" w:right="1440" w:bottom="1440" w:left="1440" w:header="1440" w:footer="1152" w:gutter="0"/>
          <w:pgNumType w:start="1"/>
          <w:cols w:space="720"/>
          <w:noEndnote/>
          <w:titlePg/>
        </w:sectPr>
      </w:pPr>
    </w:p>
    <w:p w:rsidR="001D71AD" w:rsidRPr="00640845" w:rsidRDefault="001D71AD" w:rsidP="0092264B">
      <w:pPr>
        <w:autoSpaceDE w:val="0"/>
        <w:autoSpaceDN w:val="0"/>
        <w:adjustRightInd w:val="0"/>
        <w:jc w:val="center"/>
        <w:rPr>
          <w:lang w:val="fr-FR"/>
        </w:rPr>
      </w:pPr>
    </w:p>
    <w:p w:rsidR="001D71AD" w:rsidRPr="00640845" w:rsidRDefault="001D71AD">
      <w:pPr>
        <w:autoSpaceDE w:val="0"/>
        <w:autoSpaceDN w:val="0"/>
        <w:adjustRightInd w:val="0"/>
        <w:jc w:val="center"/>
        <w:rPr>
          <w:lang w:val="fr-FR"/>
        </w:rPr>
      </w:pPr>
    </w:p>
    <w:sectPr w:rsidR="001D71AD" w:rsidRPr="00640845" w:rsidSect="0092264B">
      <w:headerReference w:type="even" r:id="rId26"/>
      <w:headerReference w:type="default" r:id="rId27"/>
      <w:footerReference w:type="even" r:id="rId28"/>
      <w:footerReference w:type="default" r:id="rId29"/>
      <w:type w:val="continuous"/>
      <w:pgSz w:w="12240" w:h="15840" w:code="1"/>
      <w:pgMar w:top="1440" w:right="720" w:bottom="1440" w:left="720" w:header="432"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8A" w:rsidRDefault="0065298A">
      <w:r>
        <w:separator/>
      </w:r>
    </w:p>
  </w:endnote>
  <w:endnote w:type="continuationSeparator" w:id="0">
    <w:p w:rsidR="0065298A" w:rsidRDefault="0065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675BF5">
      <w:rPr>
        <w:rStyle w:val="PageNumber"/>
        <w:b/>
        <w:bCs/>
        <w:noProof/>
        <w:sz w:val="18"/>
      </w:rPr>
      <w:t>2</w:t>
    </w:r>
    <w:r>
      <w:rPr>
        <w:rStyle w:val="PageNumber"/>
        <w:b/>
        <w:bCs/>
        <w:sz w:val="18"/>
      </w:rPr>
      <w:fldChar w:fldCharType="end"/>
    </w:r>
  </w:p>
  <w:p w:rsidR="001D71AD" w:rsidRDefault="001D71AD">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Footer"/>
      <w:framePr w:wrap="around" w:vAnchor="text" w:hAnchor="margin" w:xAlign="outside" w:y="1"/>
      <w:rPr>
        <w:rStyle w:val="PageNumber"/>
        <w:b/>
        <w:bCs/>
        <w:sz w:val="18"/>
      </w:rPr>
    </w:pPr>
    <w:r>
      <w:rPr>
        <w:rStyle w:val="PageNumber"/>
        <w:b/>
        <w:bCs/>
        <w:sz w:val="18"/>
      </w:rPr>
      <w:fldChar w:fldCharType="begin"/>
    </w:r>
    <w:r>
      <w:rPr>
        <w:rStyle w:val="PageNumber"/>
        <w:b/>
        <w:bCs/>
        <w:sz w:val="18"/>
      </w:rPr>
      <w:instrText xml:space="preserve">PAGE  </w:instrText>
    </w:r>
    <w:r>
      <w:rPr>
        <w:rStyle w:val="PageNumber"/>
        <w:b/>
        <w:bCs/>
        <w:sz w:val="18"/>
      </w:rPr>
      <w:fldChar w:fldCharType="separate"/>
    </w:r>
    <w:r w:rsidR="00675BF5">
      <w:rPr>
        <w:rStyle w:val="PageNumber"/>
        <w:b/>
        <w:bCs/>
        <w:noProof/>
        <w:sz w:val="18"/>
      </w:rPr>
      <w:t>3</w:t>
    </w:r>
    <w:r>
      <w:rPr>
        <w:rStyle w:val="PageNumber"/>
        <w:b/>
        <w:bCs/>
        <w:sz w:val="18"/>
      </w:rPr>
      <w:fldChar w:fldCharType="end"/>
    </w:r>
  </w:p>
  <w:p w:rsidR="001D71AD" w:rsidRDefault="001D71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8A" w:rsidRDefault="0065298A">
      <w:r>
        <w:separator/>
      </w:r>
    </w:p>
  </w:footnote>
  <w:footnote w:type="continuationSeparator" w:id="0">
    <w:p w:rsidR="0065298A" w:rsidRDefault="0065298A">
      <w:r>
        <w:continuationSeparator/>
      </w:r>
    </w:p>
  </w:footnote>
  <w:footnote w:id="1">
    <w:p w:rsidR="001D71AD" w:rsidRDefault="001D71AD" w:rsidP="00465EE5">
      <w:pPr>
        <w:pStyle w:val="FootnoteText"/>
      </w:pPr>
      <w:r w:rsidRPr="00611D51">
        <w:rPr>
          <w:rStyle w:val="FootnoteReference"/>
          <w:sz w:val="18"/>
        </w:rPr>
        <w:footnoteRef/>
      </w:r>
      <w:r w:rsidRPr="00104F4D">
        <w:rPr>
          <w:sz w:val="18"/>
          <w:lang w:val="fr-FR"/>
        </w:rPr>
        <w:t xml:space="preserve"> Selon DP-FPA/2010/1-E/ICEF/2010/AB/L.10 (</w:t>
      </w:r>
      <w:r>
        <w:rPr>
          <w:sz w:val="18"/>
          <w:lang w:val="fr-FR"/>
        </w:rPr>
        <w:t>« </w:t>
      </w:r>
      <w:r w:rsidRPr="00104F4D">
        <w:rPr>
          <w:sz w:val="18"/>
          <w:lang w:val="fr-FR"/>
        </w:rPr>
        <w:t xml:space="preserve">Feuille de route du rapport conjoint vers un budget </w:t>
      </w:r>
      <w:r>
        <w:rPr>
          <w:sz w:val="18"/>
          <w:lang w:val="fr-FR"/>
        </w:rPr>
        <w:t>inté</w:t>
      </w:r>
      <w:r w:rsidRPr="00104F4D">
        <w:rPr>
          <w:sz w:val="18"/>
          <w:lang w:val="fr-FR"/>
        </w:rPr>
        <w:t>gr</w:t>
      </w:r>
      <w:r>
        <w:rPr>
          <w:sz w:val="18"/>
          <w:lang w:val="fr-FR"/>
        </w:rPr>
        <w:t>é</w:t>
      </w:r>
      <w:r w:rsidRPr="00104F4D">
        <w:rPr>
          <w:sz w:val="18"/>
          <w:lang w:val="fr-FR"/>
        </w:rPr>
        <w:t xml:space="preserve"> : classification des coûts et budgétisation fondée sur les r</w:t>
      </w:r>
      <w:r>
        <w:rPr>
          <w:sz w:val="18"/>
          <w:lang w:val="fr-FR"/>
        </w:rPr>
        <w:t xml:space="preserve">ésultats »). </w:t>
      </w:r>
    </w:p>
  </w:footnote>
  <w:footnote w:id="2">
    <w:p w:rsidR="001D71AD" w:rsidRDefault="001D71AD">
      <w:pPr>
        <w:pStyle w:val="FootnoteText"/>
      </w:pPr>
      <w:r w:rsidRPr="001D18CB">
        <w:rPr>
          <w:rStyle w:val="FootnoteReference"/>
          <w:sz w:val="18"/>
        </w:rPr>
        <w:footnoteRef/>
      </w:r>
      <w:r w:rsidRPr="008F7567">
        <w:rPr>
          <w:sz w:val="18"/>
          <w:lang w:val="fr-FR"/>
        </w:rPr>
        <w:t xml:space="preserve"> Voir la section IV </w:t>
      </w:r>
      <w:r>
        <w:rPr>
          <w:sz w:val="18"/>
          <w:lang w:val="fr-FR"/>
        </w:rPr>
        <w:t>pour p</w:t>
      </w:r>
      <w:r w:rsidRPr="008F7567">
        <w:rPr>
          <w:sz w:val="18"/>
          <w:lang w:val="fr-FR"/>
        </w:rPr>
        <w:t>lus de d</w:t>
      </w:r>
      <w:r>
        <w:rPr>
          <w:sz w:val="18"/>
          <w:lang w:val="fr-FR"/>
        </w:rPr>
        <w:t>étails à ce sujet</w:t>
      </w:r>
      <w:r w:rsidRPr="008F7567">
        <w:rPr>
          <w:sz w:val="18"/>
          <w:lang w:val="fr-FR"/>
        </w:rPr>
        <w:t xml:space="preserve">. </w:t>
      </w:r>
    </w:p>
  </w:footnote>
  <w:footnote w:id="3">
    <w:p w:rsidR="001D71AD" w:rsidRDefault="001D71AD">
      <w:pPr>
        <w:pStyle w:val="FootnoteText"/>
      </w:pPr>
      <w:r w:rsidRPr="001D18CB">
        <w:rPr>
          <w:rStyle w:val="FootnoteReference"/>
          <w:sz w:val="18"/>
        </w:rPr>
        <w:footnoteRef/>
      </w:r>
      <w:r>
        <w:rPr>
          <w:sz w:val="18"/>
          <w:lang w:val="fr-FR"/>
        </w:rPr>
        <w:t>Les pays figurant dans le quadra</w:t>
      </w:r>
      <w:r w:rsidRPr="008F7567">
        <w:rPr>
          <w:sz w:val="18"/>
          <w:lang w:val="fr-FR"/>
        </w:rPr>
        <w:t>nt rose sont ceux qui ont les plus petits besoins et la plus grande capacit</w:t>
      </w:r>
      <w:r>
        <w:rPr>
          <w:sz w:val="18"/>
          <w:lang w:val="fr-FR"/>
        </w:rPr>
        <w:t xml:space="preserve">é de financer leurs propres interventions programmatiques </w:t>
      </w:r>
      <w:r w:rsidRPr="008F7567">
        <w:rPr>
          <w:sz w:val="18"/>
          <w:lang w:val="fr-FR"/>
        </w:rPr>
        <w:t>(</w:t>
      </w:r>
      <w:r>
        <w:rPr>
          <w:sz w:val="18"/>
          <w:lang w:val="fr-FR"/>
        </w:rPr>
        <w:t xml:space="preserve">voir la </w:t>
      </w:r>
      <w:r w:rsidRPr="008F7567">
        <w:rPr>
          <w:sz w:val="18"/>
          <w:lang w:val="fr-FR"/>
        </w:rPr>
        <w:t xml:space="preserve">section IV </w:t>
      </w:r>
      <w:r>
        <w:rPr>
          <w:sz w:val="18"/>
          <w:lang w:val="fr-FR"/>
        </w:rPr>
        <w:t xml:space="preserve">pour plus de détails sur la </w:t>
      </w:r>
      <w:r w:rsidRPr="008F7567">
        <w:rPr>
          <w:sz w:val="18"/>
          <w:lang w:val="fr-FR"/>
        </w:rPr>
        <w:t>classification).</w:t>
      </w:r>
      <w:r w:rsidRPr="00DD5E76">
        <w:rPr>
          <w:sz w:val="18"/>
          <w:lang w:val="fr-FR"/>
        </w:rPr>
        <w:t>C’est parce que les BR devraient jouer un rôle particulier dans leurs pays vu que les bureau</w:t>
      </w:r>
      <w:r>
        <w:rPr>
          <w:sz w:val="18"/>
          <w:lang w:val="fr-FR"/>
        </w:rPr>
        <w:t>x</w:t>
      </w:r>
      <w:r w:rsidRPr="00DD5E76">
        <w:rPr>
          <w:sz w:val="18"/>
          <w:lang w:val="fr-FR"/>
        </w:rPr>
        <w:t xml:space="preserve"> pays ont un personnel plus r</w:t>
      </w:r>
      <w:r>
        <w:rPr>
          <w:sz w:val="18"/>
          <w:lang w:val="fr-FR"/>
        </w:rPr>
        <w:t>éduit que ceux des bureaux des pays situés dans le quadrant rouge, par exemple, qu’</w:t>
      </w:r>
      <w:r w:rsidRPr="00DD5E76">
        <w:rPr>
          <w:sz w:val="18"/>
          <w:lang w:val="fr-FR"/>
        </w:rPr>
        <w:t>ils font l’objet d’une attention particulière dans ce context</w:t>
      </w:r>
      <w:r>
        <w:rPr>
          <w:sz w:val="18"/>
          <w:lang w:val="fr-FR"/>
        </w:rPr>
        <w:t xml:space="preserve">e. </w:t>
      </w:r>
    </w:p>
  </w:footnote>
  <w:footnote w:id="4">
    <w:p w:rsidR="001D71AD" w:rsidRDefault="001D71AD" w:rsidP="00F84D3B">
      <w:pPr>
        <w:pStyle w:val="FootnoteText"/>
      </w:pPr>
      <w:r w:rsidRPr="00F9647B">
        <w:rPr>
          <w:rStyle w:val="FootnoteReference"/>
          <w:sz w:val="18"/>
        </w:rPr>
        <w:footnoteRef/>
      </w:r>
      <w:r w:rsidRPr="0005050E">
        <w:rPr>
          <w:sz w:val="18"/>
          <w:lang w:val="fr-FR"/>
        </w:rPr>
        <w:t xml:space="preserve"> Le changement de 133 à 134 pays provient de la cr</w:t>
      </w:r>
      <w:r>
        <w:rPr>
          <w:sz w:val="18"/>
          <w:lang w:val="fr-FR"/>
        </w:rPr>
        <w:t>é</w:t>
      </w:r>
      <w:r w:rsidRPr="0005050E">
        <w:rPr>
          <w:sz w:val="18"/>
          <w:lang w:val="fr-FR"/>
        </w:rPr>
        <w:t>ation du Soudan</w:t>
      </w:r>
      <w:r>
        <w:rPr>
          <w:sz w:val="18"/>
          <w:lang w:val="fr-FR"/>
        </w:rPr>
        <w:t xml:space="preserve"> du Sud</w:t>
      </w:r>
      <w:r w:rsidRPr="0005050E">
        <w:rPr>
          <w:sz w:val="18"/>
          <w:lang w:val="fr-FR"/>
        </w:rPr>
        <w:t>.</w:t>
      </w:r>
    </w:p>
  </w:footnote>
  <w:footnote w:id="5">
    <w:p w:rsidR="001D71AD" w:rsidRDefault="001D71AD" w:rsidP="00445095">
      <w:pPr>
        <w:pStyle w:val="FootnoteText"/>
      </w:pPr>
      <w:r w:rsidRPr="00F70C9E">
        <w:rPr>
          <w:rStyle w:val="FootnoteReference"/>
          <w:sz w:val="18"/>
        </w:rPr>
        <w:footnoteRef/>
      </w:r>
      <w:r>
        <w:rPr>
          <w:sz w:val="18"/>
          <w:lang w:val="fr-FR"/>
        </w:rPr>
        <w:t>Ce</w:t>
      </w:r>
      <w:r w:rsidRPr="005D6D7A">
        <w:rPr>
          <w:sz w:val="18"/>
          <w:lang w:val="fr-FR"/>
        </w:rPr>
        <w:t xml:space="preserve"> term</w:t>
      </w:r>
      <w:r>
        <w:rPr>
          <w:sz w:val="18"/>
          <w:lang w:val="fr-FR"/>
        </w:rPr>
        <w:t>e</w:t>
      </w:r>
      <w:r w:rsidRPr="005D6D7A">
        <w:rPr>
          <w:sz w:val="18"/>
          <w:lang w:val="fr-FR"/>
        </w:rPr>
        <w:t xml:space="preserve"> est utilis</w:t>
      </w:r>
      <w:r>
        <w:rPr>
          <w:sz w:val="18"/>
          <w:lang w:val="fr-FR"/>
        </w:rPr>
        <w:t>é</w:t>
      </w:r>
      <w:r w:rsidRPr="005D6D7A">
        <w:rPr>
          <w:sz w:val="18"/>
          <w:lang w:val="fr-FR"/>
        </w:rPr>
        <w:t xml:space="preserve"> dans tout le document pour </w:t>
      </w:r>
      <w:r>
        <w:rPr>
          <w:sz w:val="18"/>
          <w:lang w:val="fr-FR"/>
        </w:rPr>
        <w:t>dé</w:t>
      </w:r>
      <w:r w:rsidRPr="005D6D7A">
        <w:rPr>
          <w:sz w:val="18"/>
          <w:lang w:val="fr-FR"/>
        </w:rPr>
        <w:t>signer les états et les territoires dans lesquels l</w:t>
      </w:r>
      <w:r>
        <w:rPr>
          <w:sz w:val="18"/>
          <w:lang w:val="fr-FR"/>
        </w:rPr>
        <w:t>’</w:t>
      </w:r>
      <w:r w:rsidRPr="005D6D7A">
        <w:rPr>
          <w:sz w:val="18"/>
          <w:lang w:val="fr-FR"/>
        </w:rPr>
        <w:t xml:space="preserve">UNFPA </w:t>
      </w:r>
      <w:r>
        <w:rPr>
          <w:sz w:val="18"/>
          <w:lang w:val="fr-FR"/>
        </w:rPr>
        <w:t xml:space="preserve">exerce ses activités qui comprennent quelques territoires qui ne sont pas des États et quelques groupements de pays. </w:t>
      </w:r>
    </w:p>
  </w:footnote>
  <w:footnote w:id="6">
    <w:p w:rsidR="001D71AD" w:rsidRDefault="001D71AD" w:rsidP="00C26D87">
      <w:pPr>
        <w:pStyle w:val="FootnoteText"/>
      </w:pPr>
      <w:r w:rsidRPr="00C26D87">
        <w:rPr>
          <w:rStyle w:val="FootnoteReference"/>
          <w:sz w:val="18"/>
        </w:rPr>
        <w:footnoteRef/>
      </w:r>
      <w:r w:rsidRPr="007C7142">
        <w:rPr>
          <w:sz w:val="18"/>
          <w:lang w:val="fr-FR"/>
        </w:rPr>
        <w:t xml:space="preserve">Barros et al (2012). </w:t>
      </w:r>
      <w:r>
        <w:rPr>
          <w:sz w:val="18"/>
          <w:lang w:val="fr-FR"/>
        </w:rPr>
        <w:t>É</w:t>
      </w:r>
      <w:r w:rsidRPr="007C7142">
        <w:rPr>
          <w:sz w:val="18"/>
          <w:lang w:val="fr-FR"/>
        </w:rPr>
        <w:t>quité dans les interventions de santé maternelle, néonatale et infantile dans le compte à rebours</w:t>
      </w:r>
      <w:r>
        <w:rPr>
          <w:sz w:val="18"/>
          <w:lang w:val="fr-FR"/>
        </w:rPr>
        <w:t xml:space="preserve"> vers </w:t>
      </w:r>
      <w:r w:rsidRPr="007C7142">
        <w:rPr>
          <w:sz w:val="18"/>
          <w:lang w:val="fr-FR"/>
        </w:rPr>
        <w:t xml:space="preserve">2015: </w:t>
      </w:r>
      <w:r>
        <w:rPr>
          <w:sz w:val="18"/>
          <w:lang w:val="fr-FR"/>
        </w:rPr>
        <w:t>examen rétrospectif des données de l’examen de 54 pays</w:t>
      </w:r>
      <w:r w:rsidRPr="007C7142">
        <w:rPr>
          <w:sz w:val="18"/>
          <w:lang w:val="fr-FR"/>
        </w:rPr>
        <w:t xml:space="preserve">. </w:t>
      </w:r>
      <w:r w:rsidRPr="002C0BC5">
        <w:rPr>
          <w:i/>
          <w:sz w:val="18"/>
          <w:lang w:val="fr-FR"/>
        </w:rPr>
        <w:t>The Lancet</w:t>
      </w:r>
      <w:r w:rsidRPr="002C0BC5">
        <w:rPr>
          <w:sz w:val="18"/>
          <w:lang w:val="fr-FR"/>
        </w:rPr>
        <w:t xml:space="preserve">, Vol 379, 31 mars 2012. </w:t>
      </w:r>
    </w:p>
  </w:footnote>
  <w:footnote w:id="7">
    <w:p w:rsidR="001D71AD" w:rsidRDefault="001D71AD" w:rsidP="00214370">
      <w:pPr>
        <w:pStyle w:val="FootnoteText"/>
      </w:pPr>
      <w:r w:rsidRPr="00E71096">
        <w:rPr>
          <w:rStyle w:val="FootnoteReference"/>
          <w:sz w:val="18"/>
        </w:rPr>
        <w:footnoteRef/>
      </w:r>
      <w:r w:rsidRPr="002C0BC5">
        <w:rPr>
          <w:sz w:val="18"/>
          <w:lang w:val="fr-FR"/>
        </w:rPr>
        <w:t xml:space="preserve"> Disponible </w:t>
      </w:r>
      <w:r>
        <w:rPr>
          <w:sz w:val="18"/>
          <w:lang w:val="fr-FR"/>
        </w:rPr>
        <w:t xml:space="preserve">à </w:t>
      </w:r>
      <w:r w:rsidRPr="002C0BC5">
        <w:rPr>
          <w:sz w:val="18"/>
          <w:lang w:val="fr-FR"/>
        </w:rPr>
        <w:t>http://data.worldbank.org/about/country-classifications/country-and-lending-groups.</w:t>
      </w:r>
    </w:p>
  </w:footnote>
  <w:footnote w:id="8">
    <w:p w:rsidR="001D71AD" w:rsidRDefault="001D71AD">
      <w:pPr>
        <w:pStyle w:val="FootnoteText"/>
      </w:pPr>
      <w:r w:rsidRPr="007A5110">
        <w:rPr>
          <w:rStyle w:val="FootnoteReference"/>
          <w:sz w:val="18"/>
          <w:szCs w:val="18"/>
        </w:rPr>
        <w:footnoteRef/>
      </w:r>
      <w:r>
        <w:rPr>
          <w:sz w:val="18"/>
          <w:szCs w:val="18"/>
          <w:lang w:val="fr-FR"/>
        </w:rPr>
        <w:t xml:space="preserve">Les chiffres ayant été </w:t>
      </w:r>
      <w:r w:rsidRPr="00CC0083">
        <w:rPr>
          <w:sz w:val="18"/>
          <w:szCs w:val="18"/>
          <w:lang w:val="fr-FR"/>
        </w:rPr>
        <w:t xml:space="preserve">arrondis, le total </w:t>
      </w:r>
      <w:r>
        <w:rPr>
          <w:sz w:val="18"/>
          <w:szCs w:val="18"/>
          <w:lang w:val="fr-FR"/>
        </w:rPr>
        <w:t>n’est pas 1</w:t>
      </w:r>
      <w:r w:rsidRPr="00CC0083">
        <w:rPr>
          <w:sz w:val="18"/>
          <w:szCs w:val="18"/>
          <w:lang w:val="fr-FR"/>
        </w:rPr>
        <w:t>00 %</w:t>
      </w:r>
      <w:r>
        <w:rPr>
          <w:sz w:val="18"/>
          <w:szCs w:val="18"/>
          <w:lang w:val="fr-FR"/>
        </w:rPr>
        <w:t>.</w:t>
      </w:r>
    </w:p>
  </w:footnote>
  <w:footnote w:id="9">
    <w:p w:rsidR="001D71AD" w:rsidRDefault="001D71AD" w:rsidP="00445095">
      <w:pPr>
        <w:pStyle w:val="FootnoteText"/>
      </w:pPr>
      <w:r w:rsidRPr="00D447BE">
        <w:rPr>
          <w:rStyle w:val="FootnoteReference"/>
          <w:sz w:val="18"/>
        </w:rPr>
        <w:footnoteRef/>
      </w:r>
      <w:r w:rsidRPr="00BB6971">
        <w:rPr>
          <w:sz w:val="18"/>
          <w:lang w:val="fr-FR"/>
        </w:rPr>
        <w:t xml:space="preserve"> Pour ces calculs, les programmes multi-pays du Pacifique </w:t>
      </w:r>
      <w:r>
        <w:rPr>
          <w:sz w:val="18"/>
          <w:lang w:val="fr-FR"/>
        </w:rPr>
        <w:t>S</w:t>
      </w:r>
      <w:r w:rsidRPr="00BB6971">
        <w:rPr>
          <w:sz w:val="18"/>
          <w:lang w:val="fr-FR"/>
        </w:rPr>
        <w:t>ud et des Caraïbes, sont compt</w:t>
      </w:r>
      <w:r>
        <w:rPr>
          <w:sz w:val="18"/>
          <w:lang w:val="fr-FR"/>
        </w:rPr>
        <w:t xml:space="preserve">és comme un seul pays parce qu’un seul </w:t>
      </w:r>
      <w:r w:rsidRPr="000000C4">
        <w:rPr>
          <w:sz w:val="18"/>
          <w:lang w:val="fr-FR"/>
        </w:rPr>
        <w:t>document</w:t>
      </w:r>
      <w:r w:rsidRPr="00C54E1A">
        <w:rPr>
          <w:sz w:val="18"/>
          <w:lang w:val="fr-FR"/>
        </w:rPr>
        <w:t xml:space="preserve"> du programme de pays</w:t>
      </w:r>
      <w:r>
        <w:rPr>
          <w:sz w:val="18"/>
          <w:lang w:val="fr-FR"/>
        </w:rPr>
        <w:t xml:space="preserve"> a </w:t>
      </w:r>
      <w:r w:rsidRPr="000000C4">
        <w:rPr>
          <w:sz w:val="18"/>
          <w:lang w:val="fr-FR"/>
        </w:rPr>
        <w:t>été</w:t>
      </w:r>
      <w:r>
        <w:rPr>
          <w:sz w:val="18"/>
          <w:lang w:val="fr-FR"/>
        </w:rPr>
        <w:t xml:space="preserve"> approuv</w:t>
      </w:r>
      <w:r w:rsidRPr="000000C4">
        <w:rPr>
          <w:sz w:val="18"/>
          <w:lang w:val="fr-FR"/>
        </w:rPr>
        <w:t>é</w:t>
      </w:r>
      <w:r w:rsidRPr="00C54E1A">
        <w:rPr>
          <w:sz w:val="18"/>
          <w:szCs w:val="18"/>
          <w:lang w:val="fr-FR"/>
        </w:rPr>
        <w:t>par le comité exécutif</w:t>
      </w:r>
      <w:r>
        <w:rPr>
          <w:sz w:val="18"/>
          <w:szCs w:val="18"/>
          <w:lang w:val="fr-FR"/>
        </w:rPr>
        <w:t xml:space="preserve"> pour chacun d’eux</w:t>
      </w:r>
      <w:r>
        <w:rPr>
          <w:sz w:val="18"/>
          <w:lang w:val="fr-FR"/>
        </w:rPr>
        <w:t>.Cependant, les contextes sp</w:t>
      </w:r>
      <w:r w:rsidRPr="000000C4">
        <w:rPr>
          <w:sz w:val="18"/>
          <w:lang w:val="fr-FR"/>
        </w:rPr>
        <w:t>é</w:t>
      </w:r>
      <w:r>
        <w:rPr>
          <w:sz w:val="18"/>
          <w:lang w:val="fr-FR"/>
        </w:rPr>
        <w:t>cifiques de chaque pays / territoire au sein des programmes multi-pays seront utilis</w:t>
      </w:r>
      <w:r w:rsidRPr="000000C4">
        <w:rPr>
          <w:sz w:val="18"/>
          <w:lang w:val="fr-FR"/>
        </w:rPr>
        <w:t>é</w:t>
      </w:r>
      <w:r>
        <w:rPr>
          <w:sz w:val="18"/>
          <w:lang w:val="fr-FR"/>
        </w:rPr>
        <w:t>s pour d</w:t>
      </w:r>
      <w:r w:rsidRPr="000000C4">
        <w:rPr>
          <w:sz w:val="18"/>
          <w:lang w:val="fr-FR"/>
        </w:rPr>
        <w:t>é</w:t>
      </w:r>
      <w:r>
        <w:rPr>
          <w:sz w:val="18"/>
          <w:lang w:val="fr-FR"/>
        </w:rPr>
        <w:t>terminer les strat</w:t>
      </w:r>
      <w:r w:rsidRPr="000000C4">
        <w:rPr>
          <w:sz w:val="18"/>
          <w:lang w:val="fr-FR"/>
        </w:rPr>
        <w:t>é</w:t>
      </w:r>
      <w:r>
        <w:rPr>
          <w:sz w:val="18"/>
          <w:lang w:val="fr-FR"/>
        </w:rPr>
        <w:t>gies de programmation appropri</w:t>
      </w:r>
      <w:r w:rsidRPr="000000C4">
        <w:rPr>
          <w:sz w:val="18"/>
          <w:lang w:val="fr-FR"/>
        </w:rPr>
        <w:t>é</w:t>
      </w:r>
      <w:r>
        <w:rPr>
          <w:sz w:val="18"/>
          <w:lang w:val="fr-FR"/>
        </w:rPr>
        <w:t>es qui sont les plus adapt</w:t>
      </w:r>
      <w:r w:rsidRPr="000000C4">
        <w:rPr>
          <w:sz w:val="18"/>
          <w:lang w:val="fr-FR"/>
        </w:rPr>
        <w:t>é</w:t>
      </w:r>
      <w:r>
        <w:rPr>
          <w:sz w:val="18"/>
          <w:lang w:val="fr-FR"/>
        </w:rPr>
        <w:t xml:space="preserve">es </w:t>
      </w:r>
      <w:r w:rsidRPr="00C54E1A">
        <w:rPr>
          <w:sz w:val="18"/>
          <w:lang w:val="fr-FR"/>
        </w:rPr>
        <w:t>à</w:t>
      </w:r>
      <w:r>
        <w:rPr>
          <w:sz w:val="18"/>
          <w:lang w:val="fr-FR"/>
        </w:rPr>
        <w:t xml:space="preserve"> ce pays / territoire. </w:t>
      </w:r>
      <w:r w:rsidRPr="00BB6971">
        <w:rPr>
          <w:sz w:val="18"/>
          <w:lang w:val="fr-FR"/>
        </w:rPr>
        <w:t>Le programme multi-pays du Pacifique Sud est dans le quadrant jaune tandis que celui des Cara</w:t>
      </w:r>
      <w:r>
        <w:rPr>
          <w:sz w:val="18"/>
          <w:lang w:val="fr-FR"/>
        </w:rPr>
        <w:t xml:space="preserve">ïbes est dans le quadrant rose. </w:t>
      </w:r>
      <w:r w:rsidRPr="00BB6971">
        <w:rPr>
          <w:sz w:val="18"/>
          <w:lang w:val="fr-FR"/>
        </w:rPr>
        <w:t>Dans les deux cas, les classements ont été faits en combinant la valeur des indicateurs d’une mani</w:t>
      </w:r>
      <w:r>
        <w:rPr>
          <w:sz w:val="18"/>
          <w:lang w:val="fr-FR"/>
        </w:rPr>
        <w:t xml:space="preserve">ère pondérée par la population mais, sans pondération, les résultats sont les mêmes. </w:t>
      </w:r>
    </w:p>
  </w:footnote>
  <w:footnote w:id="10">
    <w:p w:rsidR="001D71AD" w:rsidRDefault="001D71AD" w:rsidP="009E5D7B">
      <w:pPr>
        <w:pStyle w:val="FootnoteText"/>
      </w:pPr>
      <w:r w:rsidRPr="00862F1E">
        <w:rPr>
          <w:rStyle w:val="FootnoteReference"/>
          <w:vertAlign w:val="superscript"/>
        </w:rPr>
        <w:footnoteRef/>
      </w:r>
      <w:r>
        <w:rPr>
          <w:lang w:val="fr-FR"/>
        </w:rPr>
        <w:t xml:space="preserve">Îles </w:t>
      </w:r>
      <w:r w:rsidRPr="001669ED">
        <w:rPr>
          <w:sz w:val="16"/>
          <w:szCs w:val="16"/>
          <w:lang w:val="fr-FR"/>
        </w:rPr>
        <w:t>Cook, Fi</w:t>
      </w:r>
      <w:r>
        <w:rPr>
          <w:sz w:val="16"/>
          <w:szCs w:val="16"/>
          <w:lang w:val="fr-FR"/>
        </w:rPr>
        <w:t>d</w:t>
      </w:r>
      <w:r w:rsidRPr="001669ED">
        <w:rPr>
          <w:sz w:val="16"/>
          <w:szCs w:val="16"/>
          <w:lang w:val="fr-FR"/>
        </w:rPr>
        <w:t xml:space="preserve">ji, </w:t>
      </w:r>
      <w:r>
        <w:rPr>
          <w:sz w:val="16"/>
          <w:szCs w:val="16"/>
          <w:lang w:val="fr-FR"/>
        </w:rPr>
        <w:t xml:space="preserve">États fédérés de Micronésie, </w:t>
      </w:r>
      <w:r w:rsidRPr="001669ED">
        <w:rPr>
          <w:sz w:val="16"/>
          <w:szCs w:val="16"/>
          <w:lang w:val="fr-FR"/>
        </w:rPr>
        <w:t xml:space="preserve">Kiribati, </w:t>
      </w:r>
      <w:r>
        <w:rPr>
          <w:sz w:val="16"/>
          <w:szCs w:val="16"/>
          <w:lang w:val="fr-FR"/>
        </w:rPr>
        <w:t xml:space="preserve">Îles </w:t>
      </w:r>
      <w:r w:rsidRPr="001669ED">
        <w:rPr>
          <w:sz w:val="16"/>
          <w:szCs w:val="16"/>
          <w:lang w:val="fr-FR"/>
        </w:rPr>
        <w:t>Marshall, Ni</w:t>
      </w:r>
      <w:r>
        <w:rPr>
          <w:sz w:val="16"/>
          <w:szCs w:val="16"/>
          <w:lang w:val="fr-FR"/>
        </w:rPr>
        <w:t>o</w:t>
      </w:r>
      <w:r w:rsidRPr="001669ED">
        <w:rPr>
          <w:sz w:val="16"/>
          <w:szCs w:val="16"/>
          <w:lang w:val="fr-FR"/>
        </w:rPr>
        <w:t>u</w:t>
      </w:r>
      <w:r>
        <w:rPr>
          <w:sz w:val="16"/>
          <w:szCs w:val="16"/>
          <w:lang w:val="fr-FR"/>
        </w:rPr>
        <w:t>é</w:t>
      </w:r>
      <w:r w:rsidRPr="001669ED">
        <w:rPr>
          <w:sz w:val="16"/>
          <w:szCs w:val="16"/>
          <w:lang w:val="fr-FR"/>
        </w:rPr>
        <w:t xml:space="preserve">, Nauru, Palau, Samoa, </w:t>
      </w:r>
      <w:r>
        <w:rPr>
          <w:sz w:val="16"/>
          <w:szCs w:val="16"/>
          <w:lang w:val="fr-FR"/>
        </w:rPr>
        <w:t>Îles Salomon, Toké</w:t>
      </w:r>
      <w:r w:rsidRPr="001669ED">
        <w:rPr>
          <w:sz w:val="16"/>
          <w:szCs w:val="16"/>
          <w:lang w:val="fr-FR"/>
        </w:rPr>
        <w:t>la</w:t>
      </w:r>
      <w:r>
        <w:rPr>
          <w:sz w:val="16"/>
          <w:szCs w:val="16"/>
          <w:lang w:val="fr-FR"/>
        </w:rPr>
        <w:t>o</w:t>
      </w:r>
      <w:r w:rsidRPr="001669ED">
        <w:rPr>
          <w:sz w:val="16"/>
          <w:szCs w:val="16"/>
          <w:lang w:val="fr-FR"/>
        </w:rPr>
        <w:t>u, Tonga, Tuvalu, Vanuatu.</w:t>
      </w:r>
    </w:p>
  </w:footnote>
  <w:footnote w:id="11">
    <w:p w:rsidR="001D71AD" w:rsidRDefault="001D71AD" w:rsidP="009E5D7B">
      <w:pPr>
        <w:pStyle w:val="FootnoteText"/>
      </w:pPr>
      <w:r w:rsidRPr="00862F1E">
        <w:rPr>
          <w:rStyle w:val="FootnoteReference"/>
          <w:vertAlign w:val="superscript"/>
        </w:rPr>
        <w:footnoteRef/>
      </w:r>
      <w:r w:rsidRPr="003E365D">
        <w:rPr>
          <w:sz w:val="16"/>
          <w:szCs w:val="16"/>
          <w:lang w:val="fr-FR"/>
        </w:rPr>
        <w:t xml:space="preserve">Anguilla, Antigua-et-Barbuda, Aruba, Bahamas, La Barbade, Belize, Bermudes, Îles Vierges britanniques, Îles </w:t>
      </w:r>
      <w:r>
        <w:rPr>
          <w:sz w:val="16"/>
          <w:szCs w:val="16"/>
          <w:lang w:val="fr-FR"/>
        </w:rPr>
        <w:t>Caïmanes, Curaç</w:t>
      </w:r>
      <w:r w:rsidRPr="003E365D">
        <w:rPr>
          <w:sz w:val="16"/>
          <w:szCs w:val="16"/>
          <w:lang w:val="fr-FR"/>
        </w:rPr>
        <w:t>ao, Domini</w:t>
      </w:r>
      <w:r>
        <w:rPr>
          <w:sz w:val="16"/>
          <w:szCs w:val="16"/>
          <w:lang w:val="fr-FR"/>
        </w:rPr>
        <w:t>que</w:t>
      </w:r>
      <w:r w:rsidRPr="003E365D">
        <w:rPr>
          <w:sz w:val="16"/>
          <w:szCs w:val="16"/>
          <w:lang w:val="fr-FR"/>
        </w:rPr>
        <w:t xml:space="preserve">, </w:t>
      </w:r>
      <w:r>
        <w:rPr>
          <w:sz w:val="16"/>
          <w:szCs w:val="16"/>
          <w:lang w:val="fr-FR"/>
        </w:rPr>
        <w:t xml:space="preserve">la </w:t>
      </w:r>
      <w:r w:rsidRPr="003E365D">
        <w:rPr>
          <w:sz w:val="16"/>
          <w:szCs w:val="16"/>
          <w:lang w:val="fr-FR"/>
        </w:rPr>
        <w:t>Grenad</w:t>
      </w:r>
      <w:r>
        <w:rPr>
          <w:sz w:val="16"/>
          <w:szCs w:val="16"/>
          <w:lang w:val="fr-FR"/>
        </w:rPr>
        <w:t>e</w:t>
      </w:r>
      <w:r w:rsidRPr="003E365D">
        <w:rPr>
          <w:sz w:val="16"/>
          <w:szCs w:val="16"/>
          <w:lang w:val="fr-FR"/>
        </w:rPr>
        <w:t xml:space="preserve">, Guyana, </w:t>
      </w:r>
      <w:r>
        <w:rPr>
          <w:sz w:val="16"/>
          <w:szCs w:val="16"/>
          <w:lang w:val="fr-FR"/>
        </w:rPr>
        <w:t xml:space="preserve">la </w:t>
      </w:r>
      <w:r w:rsidRPr="003E365D">
        <w:rPr>
          <w:sz w:val="16"/>
          <w:szCs w:val="16"/>
          <w:lang w:val="fr-FR"/>
        </w:rPr>
        <w:t>Jama</w:t>
      </w:r>
      <w:r>
        <w:rPr>
          <w:sz w:val="16"/>
          <w:szCs w:val="16"/>
          <w:lang w:val="fr-FR"/>
        </w:rPr>
        <w:t>ïque</w:t>
      </w:r>
      <w:r w:rsidRPr="003E365D">
        <w:rPr>
          <w:sz w:val="16"/>
          <w:szCs w:val="16"/>
          <w:lang w:val="fr-FR"/>
        </w:rPr>
        <w:t>, Montserrat, Antilles</w:t>
      </w:r>
      <w:r>
        <w:rPr>
          <w:sz w:val="16"/>
          <w:szCs w:val="16"/>
          <w:lang w:val="fr-FR"/>
        </w:rPr>
        <w:t xml:space="preserve"> néerlandaises</w:t>
      </w:r>
      <w:r w:rsidRPr="003E365D">
        <w:rPr>
          <w:sz w:val="16"/>
          <w:szCs w:val="16"/>
          <w:lang w:val="fr-FR"/>
        </w:rPr>
        <w:t>, S</w:t>
      </w:r>
      <w:r>
        <w:rPr>
          <w:sz w:val="16"/>
          <w:szCs w:val="16"/>
          <w:lang w:val="fr-FR"/>
        </w:rPr>
        <w:t>ainte-Lucie</w:t>
      </w:r>
      <w:r w:rsidRPr="003E365D">
        <w:rPr>
          <w:sz w:val="16"/>
          <w:szCs w:val="16"/>
          <w:lang w:val="fr-FR"/>
        </w:rPr>
        <w:t>, S</w:t>
      </w:r>
      <w:r>
        <w:rPr>
          <w:sz w:val="16"/>
          <w:szCs w:val="16"/>
          <w:lang w:val="fr-FR"/>
        </w:rPr>
        <w:t>ain</w:t>
      </w:r>
      <w:r w:rsidRPr="003E365D">
        <w:rPr>
          <w:sz w:val="16"/>
          <w:szCs w:val="16"/>
          <w:lang w:val="fr-FR"/>
        </w:rPr>
        <w:t>tKitts</w:t>
      </w:r>
      <w:r>
        <w:rPr>
          <w:sz w:val="16"/>
          <w:szCs w:val="16"/>
          <w:lang w:val="fr-FR"/>
        </w:rPr>
        <w:t>-et-</w:t>
      </w:r>
      <w:r w:rsidRPr="003E365D">
        <w:rPr>
          <w:sz w:val="16"/>
          <w:szCs w:val="16"/>
          <w:lang w:val="fr-FR"/>
        </w:rPr>
        <w:t>Nevis, S</w:t>
      </w:r>
      <w:r>
        <w:rPr>
          <w:sz w:val="16"/>
          <w:szCs w:val="16"/>
          <w:lang w:val="fr-FR"/>
        </w:rPr>
        <w:t>a</w:t>
      </w:r>
      <w:r w:rsidRPr="003E365D">
        <w:rPr>
          <w:sz w:val="16"/>
          <w:szCs w:val="16"/>
          <w:lang w:val="fr-FR"/>
        </w:rPr>
        <w:t>int Mart</w:t>
      </w:r>
      <w:r>
        <w:rPr>
          <w:sz w:val="16"/>
          <w:szCs w:val="16"/>
          <w:lang w:val="fr-FR"/>
        </w:rPr>
        <w:t>i</w:t>
      </w:r>
      <w:r w:rsidRPr="003E365D">
        <w:rPr>
          <w:sz w:val="16"/>
          <w:szCs w:val="16"/>
          <w:lang w:val="fr-FR"/>
        </w:rPr>
        <w:t>n (</w:t>
      </w:r>
      <w:r>
        <w:rPr>
          <w:sz w:val="16"/>
          <w:szCs w:val="16"/>
          <w:lang w:val="fr-FR"/>
        </w:rPr>
        <w:t>partie néerlandaise</w:t>
      </w:r>
      <w:r w:rsidRPr="003E365D">
        <w:rPr>
          <w:sz w:val="16"/>
          <w:szCs w:val="16"/>
          <w:lang w:val="fr-FR"/>
        </w:rPr>
        <w:t>),S</w:t>
      </w:r>
      <w:r>
        <w:rPr>
          <w:sz w:val="16"/>
          <w:szCs w:val="16"/>
          <w:lang w:val="fr-FR"/>
        </w:rPr>
        <w:t>ain</w:t>
      </w:r>
      <w:r w:rsidRPr="003E365D">
        <w:rPr>
          <w:sz w:val="16"/>
          <w:szCs w:val="16"/>
          <w:lang w:val="fr-FR"/>
        </w:rPr>
        <w:t>t</w:t>
      </w:r>
      <w:r>
        <w:rPr>
          <w:sz w:val="16"/>
          <w:szCs w:val="16"/>
          <w:lang w:val="fr-FR"/>
        </w:rPr>
        <w:t>-</w:t>
      </w:r>
      <w:r w:rsidRPr="003E365D">
        <w:rPr>
          <w:sz w:val="16"/>
          <w:szCs w:val="16"/>
          <w:lang w:val="fr-FR"/>
        </w:rPr>
        <w:t>Vincent</w:t>
      </w:r>
      <w:r>
        <w:rPr>
          <w:sz w:val="16"/>
          <w:szCs w:val="16"/>
          <w:lang w:val="fr-FR"/>
        </w:rPr>
        <w:t>-et-les-</w:t>
      </w:r>
      <w:r w:rsidRPr="003E365D">
        <w:rPr>
          <w:sz w:val="16"/>
          <w:szCs w:val="16"/>
          <w:lang w:val="fr-FR"/>
        </w:rPr>
        <w:t xml:space="preserve">Grenadines, Suriname, </w:t>
      </w:r>
      <w:r>
        <w:rPr>
          <w:sz w:val="16"/>
          <w:szCs w:val="16"/>
          <w:lang w:val="fr-FR"/>
        </w:rPr>
        <w:t xml:space="preserve"> Îles </w:t>
      </w:r>
      <w:r w:rsidRPr="002D5C6E">
        <w:rPr>
          <w:sz w:val="16"/>
          <w:szCs w:val="16"/>
          <w:lang w:val="fr-FR"/>
        </w:rPr>
        <w:t>Turques et Caïques</w:t>
      </w:r>
      <w:r w:rsidRPr="003E365D">
        <w:rPr>
          <w:sz w:val="16"/>
          <w:szCs w:val="16"/>
          <w:lang w:val="fr-FR"/>
        </w:rPr>
        <w:t>, Trini</w:t>
      </w:r>
      <w:r>
        <w:rPr>
          <w:sz w:val="16"/>
          <w:szCs w:val="16"/>
          <w:lang w:val="fr-FR"/>
        </w:rPr>
        <w:t>té-et-T</w:t>
      </w:r>
      <w:r w:rsidRPr="003E365D">
        <w:rPr>
          <w:sz w:val="16"/>
          <w:szCs w:val="16"/>
          <w:lang w:val="fr-FR"/>
        </w:rPr>
        <w:t>obago.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Header"/>
      <w:framePr w:wrap="around" w:vAnchor="text" w:hAnchor="margin" w:xAlign="right" w:y="1"/>
      <w:rPr>
        <w:rStyle w:val="PageNumber"/>
      </w:rPr>
    </w:pPr>
  </w:p>
  <w:p w:rsidR="001D71AD" w:rsidRPr="009703FE" w:rsidRDefault="001D71AD" w:rsidP="00CC66AF">
    <w:pPr>
      <w:pStyle w:val="Header"/>
      <w:tabs>
        <w:tab w:val="clear" w:pos="4320"/>
        <w:tab w:val="clear" w:pos="8640"/>
        <w:tab w:val="left" w:pos="1008"/>
        <w:tab w:val="left" w:pos="7200"/>
      </w:tabs>
      <w:spacing w:line="360" w:lineRule="auto"/>
      <w:ind w:left="-90" w:right="-90"/>
      <w:rPr>
        <w:b/>
        <w:bCs/>
        <w:sz w:val="18"/>
        <w:lang w:val="en-GB"/>
      </w:rPr>
    </w:pPr>
    <w:r w:rsidRPr="007A16D5">
      <w:rPr>
        <w:b/>
        <w:bCs/>
        <w:sz w:val="18"/>
        <w:lang w:val="en-GB"/>
      </w:rPr>
      <w:t>DP/FPA/2013/12</w:t>
    </w:r>
    <w:r>
      <w:rPr>
        <w:b/>
        <w:bCs/>
        <w:sz w:val="18"/>
        <w:lang w:val="en-GB"/>
      </w:rPr>
      <w:t xml:space="preserve"> Annexe 4</w:t>
    </w:r>
  </w:p>
  <w:p w:rsidR="001D71AD" w:rsidRDefault="00675BF5" w:rsidP="009703FE">
    <w:pPr>
      <w:pStyle w:val="Header"/>
      <w:tabs>
        <w:tab w:val="clear" w:pos="4320"/>
        <w:tab w:val="clear" w:pos="8640"/>
        <w:tab w:val="left" w:pos="720"/>
      </w:tabs>
      <w:spacing w:line="360" w:lineRule="auto"/>
      <w:jc w:val="both"/>
      <w:rPr>
        <w:b/>
        <w:bCs/>
        <w:sz w:val="18"/>
        <w:lang w:val="fr-FR"/>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-62865</wp:posOffset>
              </wp:positionH>
              <wp:positionV relativeFrom="paragraph">
                <wp:posOffset>34289</wp:posOffset>
              </wp:positionV>
              <wp:extent cx="60579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W0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1D71AD">
    <w:pPr>
      <w:pStyle w:val="Header"/>
      <w:framePr w:wrap="around" w:vAnchor="text" w:hAnchor="margin" w:xAlign="right" w:y="1"/>
      <w:rPr>
        <w:rStyle w:val="PageNumber"/>
      </w:rPr>
    </w:pPr>
  </w:p>
  <w:p w:rsidR="001D71AD" w:rsidRPr="009703FE" w:rsidRDefault="001D71AD" w:rsidP="00CC66AF">
    <w:pPr>
      <w:pStyle w:val="Header"/>
      <w:tabs>
        <w:tab w:val="clear" w:pos="4320"/>
        <w:tab w:val="clear" w:pos="8640"/>
        <w:tab w:val="left" w:pos="1008"/>
        <w:tab w:val="left" w:pos="7200"/>
      </w:tabs>
      <w:spacing w:line="360" w:lineRule="auto"/>
      <w:ind w:right="90"/>
      <w:jc w:val="right"/>
      <w:rPr>
        <w:b/>
        <w:bCs/>
        <w:sz w:val="18"/>
        <w:lang w:val="en-GB"/>
      </w:rPr>
    </w:pPr>
    <w:r w:rsidRPr="007A16D5">
      <w:rPr>
        <w:b/>
        <w:bCs/>
        <w:sz w:val="18"/>
        <w:lang w:val="en-GB"/>
      </w:rPr>
      <w:t>DP/FPA/2013/12</w:t>
    </w:r>
    <w:r>
      <w:rPr>
        <w:b/>
        <w:bCs/>
        <w:sz w:val="18"/>
        <w:lang w:val="en-GB"/>
      </w:rPr>
      <w:t xml:space="preserve"> Annexe 4</w:t>
    </w:r>
  </w:p>
  <w:p w:rsidR="001D71AD" w:rsidRDefault="00675BF5">
    <w:pPr>
      <w:pStyle w:val="Header"/>
      <w:tabs>
        <w:tab w:val="clear" w:pos="4320"/>
        <w:tab w:val="clear" w:pos="8640"/>
        <w:tab w:val="left" w:pos="864"/>
      </w:tabs>
      <w:spacing w:line="360" w:lineRule="auto"/>
      <w:rPr>
        <w:lang w:val="fr-FR"/>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-62865</wp:posOffset>
              </wp:positionH>
              <wp:positionV relativeFrom="paragraph">
                <wp:posOffset>34289</wp:posOffset>
              </wp:positionV>
              <wp:extent cx="5943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q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nwS6iR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675BF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8052435</wp:posOffset>
              </wp:positionH>
              <wp:positionV relativeFrom="paragraph">
                <wp:posOffset>414020</wp:posOffset>
              </wp:positionV>
              <wp:extent cx="889000" cy="7050405"/>
              <wp:effectExtent l="0" t="0" r="6350" b="171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1D71AD">
                            <w:trPr>
                              <w:cantSplit/>
                              <w:trHeight w:hRule="exact" w:val="9792"/>
                            </w:trPr>
                            <w:tc>
                              <w:tcPr>
                                <w:tcW w:w="750" w:type="dxa"/>
                                <w:textDirection w:val="tbRl"/>
                                <w:vAlign w:val="bottom"/>
                              </w:tcPr>
                              <w:p w:rsidR="001D71AD" w:rsidRDefault="001D71AD">
                                <w:pPr>
                                  <w:spacing w:after="80"/>
                                  <w:ind w:left="113" w:right="113"/>
                                  <w:rPr>
                                    <w:b/>
                                    <w:sz w:val="17"/>
                                  </w:rPr>
                                </w:pPr>
                                <w:r>
                                  <w:rPr>
                                    <w:b/>
                                    <w:sz w:val="17"/>
                                  </w:rPr>
                                  <w:t>DP/FPA/2011/11</w:t>
                                </w:r>
                              </w:p>
                            </w:tc>
                          </w:tr>
                        </w:tbl>
                        <w:p w:rsidR="001D71AD" w:rsidRDefault="001D71A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34.05pt;margin-top:32.6pt;width:70pt;height:5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" filled="f" stroked="f">
              <v:textbox inset="0,0,0,0">
                <w:txbxContent>
                  <w:tbl>
                    <w:tblPr>
                      <w:tblW w:w="0" w:type="auto"/>
                      <w:tblInd w:w="635" w:type="dxa"/>
                      <w:tblLayout w:type="fixed"/>
                      <w:tblCellMar>
                        <w:left w:w="0" w:type="dxa"/>
                        <w:right w:w="0" w:type="dxa"/>
                      </w:tblCellMar>
                      <w:tblLook w:val="0000" w:firstRow="0" w:lastRow="0" w:firstColumn="0" w:lastColumn="0" w:noHBand="0" w:noVBand="0"/>
                    </w:tblPr>
                    <w:tblGrid>
                      <w:gridCol w:w="750"/>
                    </w:tblGrid>
                    <w:tr w:rsidR="001D71AD">
                      <w:trPr>
                        <w:cantSplit/>
                        <w:trHeight w:hRule="exact" w:val="9792"/>
                      </w:trPr>
                      <w:tc>
                        <w:tcPr>
                          <w:tcW w:w="750" w:type="dxa"/>
                          <w:textDirection w:val="tbRl"/>
                          <w:vAlign w:val="bottom"/>
                        </w:tcPr>
                        <w:p w:rsidR="001D71AD" w:rsidRDefault="001D71AD">
                          <w:pPr>
                            <w:spacing w:after="80"/>
                            <w:ind w:left="113" w:right="113"/>
                            <w:rPr>
                              <w:b/>
                              <w:sz w:val="17"/>
                            </w:rPr>
                          </w:pPr>
                          <w:r>
                            <w:rPr>
                              <w:b/>
                              <w:sz w:val="17"/>
                            </w:rPr>
                            <w:t>DP/FPA/2011/11</w:t>
                          </w:r>
                        </w:p>
                      </w:tc>
                    </w:tr>
                  </w:tbl>
                  <w:p w:rsidR="001D71AD" w:rsidRDefault="001D71AD"/>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299720</wp:posOffset>
              </wp:positionV>
              <wp:extent cx="156210" cy="6718300"/>
              <wp:effectExtent l="0" t="0" r="1524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671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AD" w:rsidRPr="0040165F" w:rsidRDefault="001D71AD">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38</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1D71AD">
                            <w:trPr>
                              <w:cantSplit/>
                              <w:trHeight w:hRule="exact" w:val="9360"/>
                            </w:trPr>
                            <w:tc>
                              <w:tcPr>
                                <w:tcW w:w="1197" w:type="dxa"/>
                                <w:tcBorders>
                                  <w:top w:val="nil"/>
                                  <w:left w:val="nil"/>
                                  <w:bottom w:val="nil"/>
                                  <w:right w:val="nil"/>
                                </w:tcBorders>
                                <w:textDirection w:val="tbRl"/>
                                <w:vAlign w:val="bottom"/>
                              </w:tcPr>
                              <w:p w:rsidR="001D71AD" w:rsidRDefault="001D71AD" w:rsidP="00B54E56">
                                <w:pPr>
                                  <w:spacing w:after="80"/>
                                  <w:ind w:left="113" w:right="113"/>
                                  <w:jc w:val="right"/>
                                  <w:rPr>
                                    <w:b/>
                                    <w:sz w:val="17"/>
                                  </w:rPr>
                                </w:pPr>
                                <w:r>
                                  <w:rPr>
                                    <w:b/>
                                    <w:sz w:val="17"/>
                                  </w:rPr>
                                  <w:t>DP/FPA/2011/11</w:t>
                                </w:r>
                              </w:p>
                            </w:tc>
                          </w:tr>
                        </w:tbl>
                        <w:p w:rsidR="001D71AD" w:rsidRDefault="001D71AD"/>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1.95pt;margin-top:23.6pt;width:12.3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zRqAIAAKQFAAAOAAAAZHJzL2Uyb0RvYy54bWysVFtvmzAUfp+0/2D5nXIpIYBCqjaEaVJ3&#10;kdr9AAdMsAY2s91ANe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" filled="f" stroked="f">
              <v:textbox style="layout-flow:vertical" inset="0,0,0,0">
                <w:txbxContent>
                  <w:p w:rsidR="001D71AD" w:rsidRPr="0040165F" w:rsidRDefault="001D71AD">
                    <w:pPr>
                      <w:pStyle w:val="Footer"/>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Pr>
                        <w:b/>
                        <w:noProof/>
                        <w:sz w:val="18"/>
                        <w:szCs w:val="18"/>
                      </w:rPr>
                      <w:t>38</w:t>
                    </w:r>
                    <w:r w:rsidRPr="0040165F">
                      <w:rPr>
                        <w:b/>
                        <w:sz w:val="18"/>
                        <w:szCs w:val="18"/>
                      </w:rPr>
                      <w:fldChar w:fldCharType="end"/>
                    </w:r>
                  </w:p>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1D71AD">
                      <w:trPr>
                        <w:cantSplit/>
                        <w:trHeight w:hRule="exact" w:val="9360"/>
                      </w:trPr>
                      <w:tc>
                        <w:tcPr>
                          <w:tcW w:w="1197" w:type="dxa"/>
                          <w:tcBorders>
                            <w:top w:val="nil"/>
                            <w:left w:val="nil"/>
                            <w:bottom w:val="nil"/>
                            <w:right w:val="nil"/>
                          </w:tcBorders>
                          <w:textDirection w:val="tbRl"/>
                          <w:vAlign w:val="bottom"/>
                        </w:tcPr>
                        <w:p w:rsidR="001D71AD" w:rsidRDefault="001D71AD" w:rsidP="00B54E56">
                          <w:pPr>
                            <w:spacing w:after="80"/>
                            <w:ind w:left="113" w:right="113"/>
                            <w:jc w:val="right"/>
                            <w:rPr>
                              <w:b/>
                              <w:sz w:val="17"/>
                            </w:rPr>
                          </w:pPr>
                          <w:r>
                            <w:rPr>
                              <w:b/>
                              <w:sz w:val="17"/>
                            </w:rPr>
                            <w:t>DP/FPA/2011/11</w:t>
                          </w:r>
                        </w:p>
                      </w:tc>
                    </w:tr>
                  </w:tbl>
                  <w:p w:rsidR="001D71AD" w:rsidRDefault="001D71AD"/>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AD" w:rsidRDefault="00675BF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8281035</wp:posOffset>
              </wp:positionH>
              <wp:positionV relativeFrom="paragraph">
                <wp:posOffset>528320</wp:posOffset>
              </wp:positionV>
              <wp:extent cx="889000" cy="66294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1D71AD">
                            <w:trPr>
                              <w:cantSplit/>
                              <w:trHeight w:hRule="exact" w:val="9360"/>
                            </w:trPr>
                            <w:tc>
                              <w:tcPr>
                                <w:tcW w:w="1197" w:type="dxa"/>
                                <w:tcBorders>
                                  <w:top w:val="nil"/>
                                  <w:left w:val="nil"/>
                                  <w:bottom w:val="nil"/>
                                  <w:right w:val="nil"/>
                                </w:tcBorders>
                                <w:textDirection w:val="tbRl"/>
                                <w:vAlign w:val="bottom"/>
                              </w:tcPr>
                              <w:p w:rsidR="001D71AD" w:rsidRDefault="001D71AD" w:rsidP="00B54E56">
                                <w:pPr>
                                  <w:spacing w:after="80"/>
                                  <w:ind w:left="113" w:right="113"/>
                                  <w:jc w:val="right"/>
                                  <w:rPr>
                                    <w:b/>
                                    <w:sz w:val="17"/>
                                  </w:rPr>
                                </w:pPr>
                                <w:r>
                                  <w:rPr>
                                    <w:b/>
                                    <w:sz w:val="17"/>
                                  </w:rPr>
                                  <w:t>DP/FPA/2011/11</w:t>
                                </w:r>
                              </w:p>
                            </w:tc>
                          </w:tr>
                        </w:tbl>
                        <w:p w:rsidR="001D71AD" w:rsidRDefault="001D71A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52.05pt;margin-top:41.6pt;width:70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" filled="f" stroked="f">
              <v:textbox inset="0,0,0,0">
                <w:txbxContent>
                  <w:tbl>
                    <w:tblPr>
                      <w:tblW w:w="119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7"/>
                    </w:tblGrid>
                    <w:tr w:rsidR="001D71AD">
                      <w:trPr>
                        <w:cantSplit/>
                        <w:trHeight w:hRule="exact" w:val="9360"/>
                      </w:trPr>
                      <w:tc>
                        <w:tcPr>
                          <w:tcW w:w="1197" w:type="dxa"/>
                          <w:tcBorders>
                            <w:top w:val="nil"/>
                            <w:left w:val="nil"/>
                            <w:bottom w:val="nil"/>
                            <w:right w:val="nil"/>
                          </w:tcBorders>
                          <w:textDirection w:val="tbRl"/>
                          <w:vAlign w:val="bottom"/>
                        </w:tcPr>
                        <w:p w:rsidR="001D71AD" w:rsidRDefault="001D71AD" w:rsidP="00B54E56">
                          <w:pPr>
                            <w:spacing w:after="80"/>
                            <w:ind w:left="113" w:right="113"/>
                            <w:jc w:val="right"/>
                            <w:rPr>
                              <w:b/>
                              <w:sz w:val="17"/>
                            </w:rPr>
                          </w:pPr>
                          <w:r>
                            <w:rPr>
                              <w:b/>
                              <w:sz w:val="17"/>
                            </w:rPr>
                            <w:t>DP/FPA/2011/11</w:t>
                          </w:r>
                        </w:p>
                      </w:tc>
                    </w:tr>
                  </w:tbl>
                  <w:p w:rsidR="001D71AD" w:rsidRDefault="001D71AD"/>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-368300</wp:posOffset>
              </wp:positionH>
              <wp:positionV relativeFrom="paragraph">
                <wp:posOffset>762000</wp:posOffset>
              </wp:positionV>
              <wp:extent cx="118745" cy="6245225"/>
              <wp:effectExtent l="0" t="0" r="1460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624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1AD" w:rsidRPr="0040165F" w:rsidRDefault="001D71AD">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675BF5">
                            <w:rPr>
                              <w:b/>
                              <w:noProof/>
                              <w:sz w:val="18"/>
                              <w:szCs w:val="18"/>
                            </w:rPr>
                            <w:t>37</w:t>
                          </w:r>
                          <w:r w:rsidRPr="0040165F">
                            <w:rPr>
                              <w:b/>
                              <w:sz w:val="18"/>
                              <w:szCs w:val="18"/>
                            </w:rPr>
                            <w:fldChar w:fldCharType="end"/>
                          </w:r>
                        </w:p>
                      </w:txbxContent>
                    </wps:txbx>
                    <wps:bodyPr rot="0" vert="vert"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9pt;margin-top:60pt;width:9.35pt;height:4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ZTpgIAAKQFAAAOAAAAZHJzL2Uyb0RvYy54bWysVO1umzAU/T9p72D5P+VjTgKopGpDmCZ1&#10;H1K7B3DABGtgM9sNV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" o:allowincell="f" filled="f" stroked="f">
              <v:textbox style="layout-flow:vertical" inset="0,0,0,0">
                <w:txbxContent>
                  <w:p w:rsidR="001D71AD" w:rsidRPr="0040165F" w:rsidRDefault="001D71AD">
                    <w:pPr>
                      <w:pStyle w:val="Footer"/>
                      <w:jc w:val="right"/>
                      <w:rPr>
                        <w:b/>
                        <w:sz w:val="18"/>
                        <w:szCs w:val="18"/>
                      </w:rPr>
                    </w:pPr>
                    <w:r w:rsidRPr="0040165F">
                      <w:rPr>
                        <w:b/>
                        <w:sz w:val="18"/>
                        <w:szCs w:val="18"/>
                      </w:rPr>
                      <w:fldChar w:fldCharType="begin"/>
                    </w:r>
                    <w:r w:rsidRPr="0040165F">
                      <w:rPr>
                        <w:b/>
                        <w:sz w:val="18"/>
                        <w:szCs w:val="18"/>
                      </w:rPr>
                      <w:instrText xml:space="preserve"> PAGE  \* MERGEFORMAT </w:instrText>
                    </w:r>
                    <w:r w:rsidRPr="0040165F">
                      <w:rPr>
                        <w:b/>
                        <w:sz w:val="18"/>
                        <w:szCs w:val="18"/>
                      </w:rPr>
                      <w:fldChar w:fldCharType="separate"/>
                    </w:r>
                    <w:r w:rsidR="00675BF5">
                      <w:rPr>
                        <w:b/>
                        <w:noProof/>
                        <w:sz w:val="18"/>
                        <w:szCs w:val="18"/>
                      </w:rPr>
                      <w:t>37</w:t>
                    </w:r>
                    <w:r w:rsidRPr="0040165F">
                      <w:rPr>
                        <w:b/>
                        <w:sz w:val="18"/>
                        <w:szCs w:val="18"/>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AE"/>
    <w:multiLevelType w:val="hybridMultilevel"/>
    <w:tmpl w:val="C0C000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E7F0E"/>
    <w:multiLevelType w:val="hybridMultilevel"/>
    <w:tmpl w:val="4C3E7F50"/>
    <w:lvl w:ilvl="0" w:tplc="040C0001">
      <w:start w:val="1"/>
      <w:numFmt w:val="bullet"/>
      <w:lvlText w:val=""/>
      <w:lvlJc w:val="left"/>
      <w:pPr>
        <w:ind w:left="2610" w:hanging="360"/>
      </w:pPr>
      <w:rPr>
        <w:rFonts w:ascii="Symbol" w:hAnsi="Symbol" w:hint="default"/>
      </w:rPr>
    </w:lvl>
    <w:lvl w:ilvl="1" w:tplc="040C0003" w:tentative="1">
      <w:start w:val="1"/>
      <w:numFmt w:val="bullet"/>
      <w:lvlText w:val="o"/>
      <w:lvlJc w:val="left"/>
      <w:pPr>
        <w:ind w:left="3330" w:hanging="360"/>
      </w:pPr>
      <w:rPr>
        <w:rFonts w:ascii="Courier New" w:hAnsi="Courier New" w:hint="default"/>
      </w:rPr>
    </w:lvl>
    <w:lvl w:ilvl="2" w:tplc="040C0005" w:tentative="1">
      <w:start w:val="1"/>
      <w:numFmt w:val="bullet"/>
      <w:lvlText w:val=""/>
      <w:lvlJc w:val="left"/>
      <w:pPr>
        <w:ind w:left="4050" w:hanging="360"/>
      </w:pPr>
      <w:rPr>
        <w:rFonts w:ascii="Wingdings" w:hAnsi="Wingdings" w:hint="default"/>
      </w:rPr>
    </w:lvl>
    <w:lvl w:ilvl="3" w:tplc="040C0001" w:tentative="1">
      <w:start w:val="1"/>
      <w:numFmt w:val="bullet"/>
      <w:lvlText w:val=""/>
      <w:lvlJc w:val="left"/>
      <w:pPr>
        <w:ind w:left="4770" w:hanging="360"/>
      </w:pPr>
      <w:rPr>
        <w:rFonts w:ascii="Symbol" w:hAnsi="Symbol" w:hint="default"/>
      </w:rPr>
    </w:lvl>
    <w:lvl w:ilvl="4" w:tplc="040C0003" w:tentative="1">
      <w:start w:val="1"/>
      <w:numFmt w:val="bullet"/>
      <w:lvlText w:val="o"/>
      <w:lvlJc w:val="left"/>
      <w:pPr>
        <w:ind w:left="5490" w:hanging="360"/>
      </w:pPr>
      <w:rPr>
        <w:rFonts w:ascii="Courier New" w:hAnsi="Courier New" w:hint="default"/>
      </w:rPr>
    </w:lvl>
    <w:lvl w:ilvl="5" w:tplc="040C0005" w:tentative="1">
      <w:start w:val="1"/>
      <w:numFmt w:val="bullet"/>
      <w:lvlText w:val=""/>
      <w:lvlJc w:val="left"/>
      <w:pPr>
        <w:ind w:left="6210" w:hanging="360"/>
      </w:pPr>
      <w:rPr>
        <w:rFonts w:ascii="Wingdings" w:hAnsi="Wingdings" w:hint="default"/>
      </w:rPr>
    </w:lvl>
    <w:lvl w:ilvl="6" w:tplc="040C0001" w:tentative="1">
      <w:start w:val="1"/>
      <w:numFmt w:val="bullet"/>
      <w:lvlText w:val=""/>
      <w:lvlJc w:val="left"/>
      <w:pPr>
        <w:ind w:left="6930" w:hanging="360"/>
      </w:pPr>
      <w:rPr>
        <w:rFonts w:ascii="Symbol" w:hAnsi="Symbol" w:hint="default"/>
      </w:rPr>
    </w:lvl>
    <w:lvl w:ilvl="7" w:tplc="040C0003" w:tentative="1">
      <w:start w:val="1"/>
      <w:numFmt w:val="bullet"/>
      <w:lvlText w:val="o"/>
      <w:lvlJc w:val="left"/>
      <w:pPr>
        <w:ind w:left="7650" w:hanging="360"/>
      </w:pPr>
      <w:rPr>
        <w:rFonts w:ascii="Courier New" w:hAnsi="Courier New" w:hint="default"/>
      </w:rPr>
    </w:lvl>
    <w:lvl w:ilvl="8" w:tplc="040C0005" w:tentative="1">
      <w:start w:val="1"/>
      <w:numFmt w:val="bullet"/>
      <w:lvlText w:val=""/>
      <w:lvlJc w:val="left"/>
      <w:pPr>
        <w:ind w:left="8370" w:hanging="360"/>
      </w:pPr>
      <w:rPr>
        <w:rFonts w:ascii="Wingdings" w:hAnsi="Wingdings" w:hint="default"/>
      </w:rPr>
    </w:lvl>
  </w:abstractNum>
  <w:abstractNum w:abstractNumId="2">
    <w:nsid w:val="0EAD36E6"/>
    <w:multiLevelType w:val="hybridMultilevel"/>
    <w:tmpl w:val="71D6B80C"/>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02475CE"/>
    <w:multiLevelType w:val="hybridMultilevel"/>
    <w:tmpl w:val="8244D89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8035201"/>
    <w:multiLevelType w:val="hybridMultilevel"/>
    <w:tmpl w:val="7792C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DB1845"/>
    <w:multiLevelType w:val="hybridMultilevel"/>
    <w:tmpl w:val="C62AC112"/>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6">
    <w:nsid w:val="1C552B2E"/>
    <w:multiLevelType w:val="hybridMultilevel"/>
    <w:tmpl w:val="F09C0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44470D"/>
    <w:multiLevelType w:val="hybridMultilevel"/>
    <w:tmpl w:val="0FAEF69E"/>
    <w:lvl w:ilvl="0" w:tplc="0409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8">
    <w:nsid w:val="2709417A"/>
    <w:multiLevelType w:val="hybridMultilevel"/>
    <w:tmpl w:val="E63A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065FC2"/>
    <w:multiLevelType w:val="hybridMultilevel"/>
    <w:tmpl w:val="AB0A2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23473E"/>
    <w:multiLevelType w:val="hybridMultilevel"/>
    <w:tmpl w:val="EEA0FCC4"/>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1">
    <w:nsid w:val="31EB5357"/>
    <w:multiLevelType w:val="hybridMultilevel"/>
    <w:tmpl w:val="0A6ABFF6"/>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47D576E"/>
    <w:multiLevelType w:val="hybridMultilevel"/>
    <w:tmpl w:val="DD2EC61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3">
    <w:nsid w:val="36BD3E36"/>
    <w:multiLevelType w:val="hybridMultilevel"/>
    <w:tmpl w:val="CC48A4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C0536F"/>
    <w:multiLevelType w:val="singleLevel"/>
    <w:tmpl w:val="1F708ACC"/>
    <w:lvl w:ilvl="0">
      <w:start w:val="1"/>
      <w:numFmt w:val="upperLetter"/>
      <w:pStyle w:val="Heading5"/>
      <w:lvlText w:val="%1."/>
      <w:lvlJc w:val="left"/>
      <w:pPr>
        <w:tabs>
          <w:tab w:val="num" w:pos="360"/>
        </w:tabs>
        <w:ind w:left="360" w:hanging="360"/>
      </w:pPr>
      <w:rPr>
        <w:rFonts w:cs="Times New Roman" w:hint="default"/>
      </w:rPr>
    </w:lvl>
  </w:abstractNum>
  <w:abstractNum w:abstractNumId="15">
    <w:nsid w:val="3ED40F6E"/>
    <w:multiLevelType w:val="hybridMultilevel"/>
    <w:tmpl w:val="40A69C38"/>
    <w:lvl w:ilvl="0" w:tplc="D4EE428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C97EE3"/>
    <w:multiLevelType w:val="hybridMultilevel"/>
    <w:tmpl w:val="34DC6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C260A0E"/>
    <w:multiLevelType w:val="hybridMultilevel"/>
    <w:tmpl w:val="01AC6B10"/>
    <w:lvl w:ilvl="0" w:tplc="0DE43126">
      <w:start w:val="1"/>
      <w:numFmt w:val="upperRoman"/>
      <w:pStyle w:val="Heading1"/>
      <w:lvlText w:val="%1."/>
      <w:lvlJc w:val="left"/>
      <w:pPr>
        <w:ind w:left="936" w:hanging="360"/>
      </w:pPr>
      <w:rPr>
        <w:rFonts w:cs="Times New Roman" w:hint="default"/>
        <w:spacing w:val="0"/>
        <w:position w:val="0"/>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18">
    <w:nsid w:val="4D9D3526"/>
    <w:multiLevelType w:val="hybridMultilevel"/>
    <w:tmpl w:val="62F60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3A07AD"/>
    <w:multiLevelType w:val="hybridMultilevel"/>
    <w:tmpl w:val="5734FB72"/>
    <w:lvl w:ilvl="0" w:tplc="04090001">
      <w:start w:val="1"/>
      <w:numFmt w:val="bullet"/>
      <w:lvlText w:val=""/>
      <w:lvlJc w:val="left"/>
      <w:pPr>
        <w:ind w:left="1670" w:hanging="360"/>
      </w:pPr>
      <w:rPr>
        <w:rFonts w:ascii="Symbol" w:hAnsi="Symbol" w:hint="default"/>
      </w:rPr>
    </w:lvl>
    <w:lvl w:ilvl="1" w:tplc="040C0003">
      <w:start w:val="1"/>
      <w:numFmt w:val="bullet"/>
      <w:lvlText w:val="o"/>
      <w:lvlJc w:val="left"/>
      <w:pPr>
        <w:ind w:left="2390" w:hanging="360"/>
      </w:pPr>
      <w:rPr>
        <w:rFonts w:ascii="Courier New" w:hAnsi="Courier New" w:hint="default"/>
      </w:rPr>
    </w:lvl>
    <w:lvl w:ilvl="2" w:tplc="040C0005" w:tentative="1">
      <w:start w:val="1"/>
      <w:numFmt w:val="bullet"/>
      <w:lvlText w:val=""/>
      <w:lvlJc w:val="left"/>
      <w:pPr>
        <w:ind w:left="3110" w:hanging="360"/>
      </w:pPr>
      <w:rPr>
        <w:rFonts w:ascii="Wingdings" w:hAnsi="Wingdings" w:hint="default"/>
      </w:rPr>
    </w:lvl>
    <w:lvl w:ilvl="3" w:tplc="040C0001" w:tentative="1">
      <w:start w:val="1"/>
      <w:numFmt w:val="bullet"/>
      <w:lvlText w:val=""/>
      <w:lvlJc w:val="left"/>
      <w:pPr>
        <w:ind w:left="3830" w:hanging="360"/>
      </w:pPr>
      <w:rPr>
        <w:rFonts w:ascii="Symbol" w:hAnsi="Symbol" w:hint="default"/>
      </w:rPr>
    </w:lvl>
    <w:lvl w:ilvl="4" w:tplc="040C0003" w:tentative="1">
      <w:start w:val="1"/>
      <w:numFmt w:val="bullet"/>
      <w:lvlText w:val="o"/>
      <w:lvlJc w:val="left"/>
      <w:pPr>
        <w:ind w:left="4550" w:hanging="360"/>
      </w:pPr>
      <w:rPr>
        <w:rFonts w:ascii="Courier New" w:hAnsi="Courier New" w:hint="default"/>
      </w:rPr>
    </w:lvl>
    <w:lvl w:ilvl="5" w:tplc="040C0005" w:tentative="1">
      <w:start w:val="1"/>
      <w:numFmt w:val="bullet"/>
      <w:lvlText w:val=""/>
      <w:lvlJc w:val="left"/>
      <w:pPr>
        <w:ind w:left="5270" w:hanging="360"/>
      </w:pPr>
      <w:rPr>
        <w:rFonts w:ascii="Wingdings" w:hAnsi="Wingdings" w:hint="default"/>
      </w:rPr>
    </w:lvl>
    <w:lvl w:ilvl="6" w:tplc="040C0001" w:tentative="1">
      <w:start w:val="1"/>
      <w:numFmt w:val="bullet"/>
      <w:lvlText w:val=""/>
      <w:lvlJc w:val="left"/>
      <w:pPr>
        <w:ind w:left="5990" w:hanging="360"/>
      </w:pPr>
      <w:rPr>
        <w:rFonts w:ascii="Symbol" w:hAnsi="Symbol" w:hint="default"/>
      </w:rPr>
    </w:lvl>
    <w:lvl w:ilvl="7" w:tplc="040C0003" w:tentative="1">
      <w:start w:val="1"/>
      <w:numFmt w:val="bullet"/>
      <w:lvlText w:val="o"/>
      <w:lvlJc w:val="left"/>
      <w:pPr>
        <w:ind w:left="6710" w:hanging="360"/>
      </w:pPr>
      <w:rPr>
        <w:rFonts w:ascii="Courier New" w:hAnsi="Courier New" w:hint="default"/>
      </w:rPr>
    </w:lvl>
    <w:lvl w:ilvl="8" w:tplc="040C0005" w:tentative="1">
      <w:start w:val="1"/>
      <w:numFmt w:val="bullet"/>
      <w:lvlText w:val=""/>
      <w:lvlJc w:val="left"/>
      <w:pPr>
        <w:ind w:left="7430" w:hanging="360"/>
      </w:pPr>
      <w:rPr>
        <w:rFonts w:ascii="Wingdings" w:hAnsi="Wingdings" w:hint="default"/>
      </w:rPr>
    </w:lvl>
  </w:abstractNum>
  <w:abstractNum w:abstractNumId="20">
    <w:nsid w:val="58BC678B"/>
    <w:multiLevelType w:val="hybridMultilevel"/>
    <w:tmpl w:val="144E5A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590561D9"/>
    <w:multiLevelType w:val="hybridMultilevel"/>
    <w:tmpl w:val="09229892"/>
    <w:lvl w:ilvl="0" w:tplc="C4C077FA">
      <w:start w:val="1"/>
      <w:numFmt w:val="decimal"/>
      <w:lvlText w:val="%1."/>
      <w:lvlJc w:val="left"/>
      <w:pPr>
        <w:ind w:left="1440" w:hanging="360"/>
      </w:pPr>
      <w:rPr>
        <w:rFonts w:ascii="Times New Roman" w:eastAsia="Times New Roman" w:hAnsi="Times New Roman" w:cs="Times New Roman"/>
        <w:b w:val="0"/>
        <w:sz w:val="20"/>
        <w:szCs w:val="2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B10622"/>
    <w:multiLevelType w:val="hybridMultilevel"/>
    <w:tmpl w:val="11F89D0A"/>
    <w:lvl w:ilvl="0" w:tplc="374CCFF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171B92"/>
    <w:multiLevelType w:val="hybridMultilevel"/>
    <w:tmpl w:val="49D4D830"/>
    <w:lvl w:ilvl="0" w:tplc="41387C20">
      <w:start w:val="1"/>
      <w:numFmt w:val="decimal"/>
      <w:pStyle w:val="Heading3"/>
      <w:lvlText w:val="%1."/>
      <w:lvlJc w:val="left"/>
      <w:pPr>
        <w:ind w:left="36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62F70B4"/>
    <w:multiLevelType w:val="hybridMultilevel"/>
    <w:tmpl w:val="04A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B48D9"/>
    <w:multiLevelType w:val="hybridMultilevel"/>
    <w:tmpl w:val="EEFA74DE"/>
    <w:lvl w:ilvl="0" w:tplc="B7BC311E">
      <w:start w:val="1"/>
      <w:numFmt w:val="upperLetter"/>
      <w:pStyle w:val="Heading2"/>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9D5664"/>
    <w:multiLevelType w:val="hybridMultilevel"/>
    <w:tmpl w:val="9C38BB00"/>
    <w:lvl w:ilvl="0" w:tplc="040C0001">
      <w:start w:val="1"/>
      <w:numFmt w:val="bullet"/>
      <w:lvlText w:val=""/>
      <w:lvlJc w:val="left"/>
      <w:pPr>
        <w:ind w:left="2610" w:hanging="360"/>
      </w:pPr>
      <w:rPr>
        <w:rFonts w:ascii="Symbol" w:hAnsi="Symbol" w:hint="default"/>
      </w:rPr>
    </w:lvl>
    <w:lvl w:ilvl="1" w:tplc="040C0003" w:tentative="1">
      <w:start w:val="1"/>
      <w:numFmt w:val="bullet"/>
      <w:lvlText w:val="o"/>
      <w:lvlJc w:val="left"/>
      <w:pPr>
        <w:ind w:left="3330" w:hanging="360"/>
      </w:pPr>
      <w:rPr>
        <w:rFonts w:ascii="Courier New" w:hAnsi="Courier New" w:hint="default"/>
      </w:rPr>
    </w:lvl>
    <w:lvl w:ilvl="2" w:tplc="040C0005" w:tentative="1">
      <w:start w:val="1"/>
      <w:numFmt w:val="bullet"/>
      <w:lvlText w:val=""/>
      <w:lvlJc w:val="left"/>
      <w:pPr>
        <w:ind w:left="4050" w:hanging="360"/>
      </w:pPr>
      <w:rPr>
        <w:rFonts w:ascii="Wingdings" w:hAnsi="Wingdings" w:hint="default"/>
      </w:rPr>
    </w:lvl>
    <w:lvl w:ilvl="3" w:tplc="040C0001" w:tentative="1">
      <w:start w:val="1"/>
      <w:numFmt w:val="bullet"/>
      <w:lvlText w:val=""/>
      <w:lvlJc w:val="left"/>
      <w:pPr>
        <w:ind w:left="4770" w:hanging="360"/>
      </w:pPr>
      <w:rPr>
        <w:rFonts w:ascii="Symbol" w:hAnsi="Symbol" w:hint="default"/>
      </w:rPr>
    </w:lvl>
    <w:lvl w:ilvl="4" w:tplc="040C0003" w:tentative="1">
      <w:start w:val="1"/>
      <w:numFmt w:val="bullet"/>
      <w:lvlText w:val="o"/>
      <w:lvlJc w:val="left"/>
      <w:pPr>
        <w:ind w:left="5490" w:hanging="360"/>
      </w:pPr>
      <w:rPr>
        <w:rFonts w:ascii="Courier New" w:hAnsi="Courier New" w:hint="default"/>
      </w:rPr>
    </w:lvl>
    <w:lvl w:ilvl="5" w:tplc="040C0005" w:tentative="1">
      <w:start w:val="1"/>
      <w:numFmt w:val="bullet"/>
      <w:lvlText w:val=""/>
      <w:lvlJc w:val="left"/>
      <w:pPr>
        <w:ind w:left="6210" w:hanging="360"/>
      </w:pPr>
      <w:rPr>
        <w:rFonts w:ascii="Wingdings" w:hAnsi="Wingdings" w:hint="default"/>
      </w:rPr>
    </w:lvl>
    <w:lvl w:ilvl="6" w:tplc="040C0001" w:tentative="1">
      <w:start w:val="1"/>
      <w:numFmt w:val="bullet"/>
      <w:lvlText w:val=""/>
      <w:lvlJc w:val="left"/>
      <w:pPr>
        <w:ind w:left="6930" w:hanging="360"/>
      </w:pPr>
      <w:rPr>
        <w:rFonts w:ascii="Symbol" w:hAnsi="Symbol" w:hint="default"/>
      </w:rPr>
    </w:lvl>
    <w:lvl w:ilvl="7" w:tplc="040C0003" w:tentative="1">
      <w:start w:val="1"/>
      <w:numFmt w:val="bullet"/>
      <w:lvlText w:val="o"/>
      <w:lvlJc w:val="left"/>
      <w:pPr>
        <w:ind w:left="7650" w:hanging="360"/>
      </w:pPr>
      <w:rPr>
        <w:rFonts w:ascii="Courier New" w:hAnsi="Courier New" w:hint="default"/>
      </w:rPr>
    </w:lvl>
    <w:lvl w:ilvl="8" w:tplc="040C0005" w:tentative="1">
      <w:start w:val="1"/>
      <w:numFmt w:val="bullet"/>
      <w:lvlText w:val=""/>
      <w:lvlJc w:val="left"/>
      <w:pPr>
        <w:ind w:left="8370" w:hanging="360"/>
      </w:pPr>
      <w:rPr>
        <w:rFonts w:ascii="Wingdings" w:hAnsi="Wingdings" w:hint="default"/>
      </w:rPr>
    </w:lvl>
  </w:abstractNum>
  <w:abstractNum w:abstractNumId="27">
    <w:nsid w:val="778171F6"/>
    <w:multiLevelType w:val="hybridMultilevel"/>
    <w:tmpl w:val="B2BC49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A404059"/>
    <w:multiLevelType w:val="hybridMultilevel"/>
    <w:tmpl w:val="EC003CA4"/>
    <w:lvl w:ilvl="0" w:tplc="040C0001">
      <w:start w:val="1"/>
      <w:numFmt w:val="bullet"/>
      <w:lvlText w:val=""/>
      <w:lvlJc w:val="left"/>
      <w:pPr>
        <w:ind w:left="2146" w:hanging="360"/>
      </w:pPr>
      <w:rPr>
        <w:rFonts w:ascii="Symbol" w:hAnsi="Symbol" w:hint="default"/>
      </w:rPr>
    </w:lvl>
    <w:lvl w:ilvl="1" w:tplc="040C0003" w:tentative="1">
      <w:start w:val="1"/>
      <w:numFmt w:val="bullet"/>
      <w:lvlText w:val="o"/>
      <w:lvlJc w:val="left"/>
      <w:pPr>
        <w:ind w:left="2866" w:hanging="360"/>
      </w:pPr>
      <w:rPr>
        <w:rFonts w:ascii="Courier New" w:hAnsi="Courier New" w:hint="default"/>
      </w:rPr>
    </w:lvl>
    <w:lvl w:ilvl="2" w:tplc="040C0005" w:tentative="1">
      <w:start w:val="1"/>
      <w:numFmt w:val="bullet"/>
      <w:lvlText w:val=""/>
      <w:lvlJc w:val="left"/>
      <w:pPr>
        <w:ind w:left="3586" w:hanging="360"/>
      </w:pPr>
      <w:rPr>
        <w:rFonts w:ascii="Wingdings" w:hAnsi="Wingdings" w:hint="default"/>
      </w:rPr>
    </w:lvl>
    <w:lvl w:ilvl="3" w:tplc="040C0001" w:tentative="1">
      <w:start w:val="1"/>
      <w:numFmt w:val="bullet"/>
      <w:lvlText w:val=""/>
      <w:lvlJc w:val="left"/>
      <w:pPr>
        <w:ind w:left="4306" w:hanging="360"/>
      </w:pPr>
      <w:rPr>
        <w:rFonts w:ascii="Symbol" w:hAnsi="Symbol" w:hint="default"/>
      </w:rPr>
    </w:lvl>
    <w:lvl w:ilvl="4" w:tplc="040C0003" w:tentative="1">
      <w:start w:val="1"/>
      <w:numFmt w:val="bullet"/>
      <w:lvlText w:val="o"/>
      <w:lvlJc w:val="left"/>
      <w:pPr>
        <w:ind w:left="5026" w:hanging="360"/>
      </w:pPr>
      <w:rPr>
        <w:rFonts w:ascii="Courier New" w:hAnsi="Courier New" w:hint="default"/>
      </w:rPr>
    </w:lvl>
    <w:lvl w:ilvl="5" w:tplc="040C0005" w:tentative="1">
      <w:start w:val="1"/>
      <w:numFmt w:val="bullet"/>
      <w:lvlText w:val=""/>
      <w:lvlJc w:val="left"/>
      <w:pPr>
        <w:ind w:left="5746" w:hanging="360"/>
      </w:pPr>
      <w:rPr>
        <w:rFonts w:ascii="Wingdings" w:hAnsi="Wingdings" w:hint="default"/>
      </w:rPr>
    </w:lvl>
    <w:lvl w:ilvl="6" w:tplc="040C0001" w:tentative="1">
      <w:start w:val="1"/>
      <w:numFmt w:val="bullet"/>
      <w:lvlText w:val=""/>
      <w:lvlJc w:val="left"/>
      <w:pPr>
        <w:ind w:left="6466" w:hanging="360"/>
      </w:pPr>
      <w:rPr>
        <w:rFonts w:ascii="Symbol" w:hAnsi="Symbol" w:hint="default"/>
      </w:rPr>
    </w:lvl>
    <w:lvl w:ilvl="7" w:tplc="040C0003" w:tentative="1">
      <w:start w:val="1"/>
      <w:numFmt w:val="bullet"/>
      <w:lvlText w:val="o"/>
      <w:lvlJc w:val="left"/>
      <w:pPr>
        <w:ind w:left="7186" w:hanging="360"/>
      </w:pPr>
      <w:rPr>
        <w:rFonts w:ascii="Courier New" w:hAnsi="Courier New" w:hint="default"/>
      </w:rPr>
    </w:lvl>
    <w:lvl w:ilvl="8" w:tplc="040C0005" w:tentative="1">
      <w:start w:val="1"/>
      <w:numFmt w:val="bullet"/>
      <w:lvlText w:val=""/>
      <w:lvlJc w:val="left"/>
      <w:pPr>
        <w:ind w:left="7906" w:hanging="360"/>
      </w:pPr>
      <w:rPr>
        <w:rFonts w:ascii="Wingdings" w:hAnsi="Wingdings" w:hint="default"/>
      </w:rPr>
    </w:lvl>
  </w:abstractNum>
  <w:num w:numId="1">
    <w:abstractNumId w:val="14"/>
  </w:num>
  <w:num w:numId="2">
    <w:abstractNumId w:val="17"/>
  </w:num>
  <w:num w:numId="3">
    <w:abstractNumId w:val="23"/>
  </w:num>
  <w:num w:numId="4">
    <w:abstractNumId w:val="21"/>
  </w:num>
  <w:num w:numId="5">
    <w:abstractNumId w:val="15"/>
  </w:num>
  <w:num w:numId="6">
    <w:abstractNumId w:val="13"/>
  </w:num>
  <w:num w:numId="7">
    <w:abstractNumId w:val="12"/>
  </w:num>
  <w:num w:numId="8">
    <w:abstractNumId w:val="3"/>
  </w:num>
  <w:num w:numId="9">
    <w:abstractNumId w:val="23"/>
    <w:lvlOverride w:ilvl="0">
      <w:startOverride w:val="1"/>
    </w:lvlOverride>
  </w:num>
  <w:num w:numId="10">
    <w:abstractNumId w:val="11"/>
  </w:num>
  <w:num w:numId="11">
    <w:abstractNumId w:val="0"/>
  </w:num>
  <w:num w:numId="12">
    <w:abstractNumId w:val="4"/>
  </w:num>
  <w:num w:numId="13">
    <w:abstractNumId w:val="16"/>
  </w:num>
  <w:num w:numId="14">
    <w:abstractNumId w:val="2"/>
  </w:num>
  <w:num w:numId="15">
    <w:abstractNumId w:val="25"/>
  </w:num>
  <w:num w:numId="16">
    <w:abstractNumId w:val="25"/>
    <w:lvlOverride w:ilvl="0">
      <w:startOverride w:val="1"/>
    </w:lvlOverride>
  </w:num>
  <w:num w:numId="17">
    <w:abstractNumId w:val="9"/>
  </w:num>
  <w:num w:numId="18">
    <w:abstractNumId w:val="24"/>
  </w:num>
  <w:num w:numId="19">
    <w:abstractNumId w:val="25"/>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28"/>
  </w:num>
  <w:num w:numId="24">
    <w:abstractNumId w:val="10"/>
  </w:num>
  <w:num w:numId="25">
    <w:abstractNumId w:val="27"/>
  </w:num>
  <w:num w:numId="26">
    <w:abstractNumId w:val="26"/>
  </w:num>
  <w:num w:numId="27">
    <w:abstractNumId w:val="5"/>
  </w:num>
  <w:num w:numId="28">
    <w:abstractNumId w:val="1"/>
  </w:num>
  <w:num w:numId="29">
    <w:abstractNumId w:val="22"/>
  </w:num>
  <w:num w:numId="30">
    <w:abstractNumId w:val="19"/>
  </w:num>
  <w:num w:numId="31">
    <w:abstractNumId w:val="7"/>
  </w:num>
  <w:num w:numId="32">
    <w:abstractNumId w:val="6"/>
  </w:num>
  <w:num w:numId="33">
    <w:abstractNumId w:val="8"/>
  </w:num>
  <w:num w:numId="34">
    <w:abstractNumId w:val="18"/>
  </w:num>
  <w:num w:numId="35">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F7"/>
    <w:rsid w:val="0000007E"/>
    <w:rsid w:val="0000009E"/>
    <w:rsid w:val="000000C4"/>
    <w:rsid w:val="00003972"/>
    <w:rsid w:val="000044BD"/>
    <w:rsid w:val="00005AE8"/>
    <w:rsid w:val="00005F67"/>
    <w:rsid w:val="00010508"/>
    <w:rsid w:val="0001066F"/>
    <w:rsid w:val="00010A5F"/>
    <w:rsid w:val="000120F0"/>
    <w:rsid w:val="00012884"/>
    <w:rsid w:val="00013D80"/>
    <w:rsid w:val="00014F8D"/>
    <w:rsid w:val="000152DE"/>
    <w:rsid w:val="0001531C"/>
    <w:rsid w:val="000157F8"/>
    <w:rsid w:val="0001582B"/>
    <w:rsid w:val="00015F74"/>
    <w:rsid w:val="000163DC"/>
    <w:rsid w:val="00016532"/>
    <w:rsid w:val="00016A34"/>
    <w:rsid w:val="00017565"/>
    <w:rsid w:val="0002056C"/>
    <w:rsid w:val="00020869"/>
    <w:rsid w:val="00021037"/>
    <w:rsid w:val="0002235D"/>
    <w:rsid w:val="0002242A"/>
    <w:rsid w:val="00023FE2"/>
    <w:rsid w:val="00027075"/>
    <w:rsid w:val="000279B9"/>
    <w:rsid w:val="00030AD4"/>
    <w:rsid w:val="00031E27"/>
    <w:rsid w:val="00033F32"/>
    <w:rsid w:val="000340BE"/>
    <w:rsid w:val="000352A4"/>
    <w:rsid w:val="00037A0F"/>
    <w:rsid w:val="00037BC1"/>
    <w:rsid w:val="0004071C"/>
    <w:rsid w:val="00042DFA"/>
    <w:rsid w:val="00044A22"/>
    <w:rsid w:val="000462E4"/>
    <w:rsid w:val="00046592"/>
    <w:rsid w:val="00046892"/>
    <w:rsid w:val="00047606"/>
    <w:rsid w:val="00047BB1"/>
    <w:rsid w:val="000500FB"/>
    <w:rsid w:val="0005050E"/>
    <w:rsid w:val="000506B6"/>
    <w:rsid w:val="00051B29"/>
    <w:rsid w:val="00052160"/>
    <w:rsid w:val="0005254B"/>
    <w:rsid w:val="00052D9A"/>
    <w:rsid w:val="00054F71"/>
    <w:rsid w:val="000557AE"/>
    <w:rsid w:val="0005691F"/>
    <w:rsid w:val="00056C0F"/>
    <w:rsid w:val="000608FB"/>
    <w:rsid w:val="00060934"/>
    <w:rsid w:val="00060DAB"/>
    <w:rsid w:val="0006283A"/>
    <w:rsid w:val="00063930"/>
    <w:rsid w:val="000662DC"/>
    <w:rsid w:val="00067C97"/>
    <w:rsid w:val="00070764"/>
    <w:rsid w:val="00071BAE"/>
    <w:rsid w:val="00073B8A"/>
    <w:rsid w:val="00074129"/>
    <w:rsid w:val="00077339"/>
    <w:rsid w:val="00077636"/>
    <w:rsid w:val="000806CC"/>
    <w:rsid w:val="00080A05"/>
    <w:rsid w:val="000824F9"/>
    <w:rsid w:val="000829D1"/>
    <w:rsid w:val="000845BF"/>
    <w:rsid w:val="00086E99"/>
    <w:rsid w:val="00087B89"/>
    <w:rsid w:val="00091890"/>
    <w:rsid w:val="00092663"/>
    <w:rsid w:val="000931D2"/>
    <w:rsid w:val="0009378E"/>
    <w:rsid w:val="000944A2"/>
    <w:rsid w:val="00095077"/>
    <w:rsid w:val="00095AD5"/>
    <w:rsid w:val="00095D10"/>
    <w:rsid w:val="0009625E"/>
    <w:rsid w:val="00097C47"/>
    <w:rsid w:val="000A045F"/>
    <w:rsid w:val="000A11E4"/>
    <w:rsid w:val="000A220E"/>
    <w:rsid w:val="000A413C"/>
    <w:rsid w:val="000A5C5B"/>
    <w:rsid w:val="000A5CC9"/>
    <w:rsid w:val="000A5E94"/>
    <w:rsid w:val="000A68A4"/>
    <w:rsid w:val="000B0494"/>
    <w:rsid w:val="000B04F7"/>
    <w:rsid w:val="000B0522"/>
    <w:rsid w:val="000B0CCB"/>
    <w:rsid w:val="000B28AD"/>
    <w:rsid w:val="000B29E2"/>
    <w:rsid w:val="000B3991"/>
    <w:rsid w:val="000B7E31"/>
    <w:rsid w:val="000C0D4F"/>
    <w:rsid w:val="000C1376"/>
    <w:rsid w:val="000C1666"/>
    <w:rsid w:val="000C16FA"/>
    <w:rsid w:val="000C2D95"/>
    <w:rsid w:val="000C3C4F"/>
    <w:rsid w:val="000C44CF"/>
    <w:rsid w:val="000C6558"/>
    <w:rsid w:val="000C6913"/>
    <w:rsid w:val="000C7D0C"/>
    <w:rsid w:val="000C7E45"/>
    <w:rsid w:val="000D03B0"/>
    <w:rsid w:val="000D0D47"/>
    <w:rsid w:val="000D0FBE"/>
    <w:rsid w:val="000D10D5"/>
    <w:rsid w:val="000D1A9B"/>
    <w:rsid w:val="000D1E0E"/>
    <w:rsid w:val="000D24B7"/>
    <w:rsid w:val="000D4538"/>
    <w:rsid w:val="000D4982"/>
    <w:rsid w:val="000D5691"/>
    <w:rsid w:val="000D5DA0"/>
    <w:rsid w:val="000E02BC"/>
    <w:rsid w:val="000E0E15"/>
    <w:rsid w:val="000E1498"/>
    <w:rsid w:val="000E2434"/>
    <w:rsid w:val="000E2679"/>
    <w:rsid w:val="000E2707"/>
    <w:rsid w:val="000E3B04"/>
    <w:rsid w:val="000E51FE"/>
    <w:rsid w:val="000E64E8"/>
    <w:rsid w:val="000F00C1"/>
    <w:rsid w:val="000F1419"/>
    <w:rsid w:val="000F1A13"/>
    <w:rsid w:val="000F2053"/>
    <w:rsid w:val="000F2F2A"/>
    <w:rsid w:val="000F46E8"/>
    <w:rsid w:val="000F6BAB"/>
    <w:rsid w:val="0010137F"/>
    <w:rsid w:val="001048BE"/>
    <w:rsid w:val="00104F4D"/>
    <w:rsid w:val="001057A4"/>
    <w:rsid w:val="00106492"/>
    <w:rsid w:val="00106668"/>
    <w:rsid w:val="0010708F"/>
    <w:rsid w:val="00110267"/>
    <w:rsid w:val="00110450"/>
    <w:rsid w:val="00110C99"/>
    <w:rsid w:val="001111C4"/>
    <w:rsid w:val="00112BCE"/>
    <w:rsid w:val="00114B47"/>
    <w:rsid w:val="001162FF"/>
    <w:rsid w:val="00116461"/>
    <w:rsid w:val="00116690"/>
    <w:rsid w:val="00117282"/>
    <w:rsid w:val="00117F19"/>
    <w:rsid w:val="00120A49"/>
    <w:rsid w:val="0012195C"/>
    <w:rsid w:val="00123198"/>
    <w:rsid w:val="00123D28"/>
    <w:rsid w:val="00123E74"/>
    <w:rsid w:val="00124C4E"/>
    <w:rsid w:val="00126236"/>
    <w:rsid w:val="0012680D"/>
    <w:rsid w:val="00131150"/>
    <w:rsid w:val="001329CD"/>
    <w:rsid w:val="001331CA"/>
    <w:rsid w:val="001336D5"/>
    <w:rsid w:val="00135A17"/>
    <w:rsid w:val="00135DE0"/>
    <w:rsid w:val="00136B23"/>
    <w:rsid w:val="00137E13"/>
    <w:rsid w:val="001418B9"/>
    <w:rsid w:val="00141CD9"/>
    <w:rsid w:val="001425F0"/>
    <w:rsid w:val="00142C96"/>
    <w:rsid w:val="0014353B"/>
    <w:rsid w:val="001435B1"/>
    <w:rsid w:val="0014371C"/>
    <w:rsid w:val="001439D8"/>
    <w:rsid w:val="00143D38"/>
    <w:rsid w:val="00145281"/>
    <w:rsid w:val="00145688"/>
    <w:rsid w:val="001458E2"/>
    <w:rsid w:val="001462CF"/>
    <w:rsid w:val="001463FA"/>
    <w:rsid w:val="001476DF"/>
    <w:rsid w:val="00147B55"/>
    <w:rsid w:val="00150875"/>
    <w:rsid w:val="00150DD7"/>
    <w:rsid w:val="00151620"/>
    <w:rsid w:val="001537EB"/>
    <w:rsid w:val="00154754"/>
    <w:rsid w:val="001548B1"/>
    <w:rsid w:val="00155392"/>
    <w:rsid w:val="00155B7B"/>
    <w:rsid w:val="00155FCE"/>
    <w:rsid w:val="0015715F"/>
    <w:rsid w:val="0015727C"/>
    <w:rsid w:val="00157664"/>
    <w:rsid w:val="00161410"/>
    <w:rsid w:val="0016166D"/>
    <w:rsid w:val="00162593"/>
    <w:rsid w:val="00162711"/>
    <w:rsid w:val="00162E78"/>
    <w:rsid w:val="0016332F"/>
    <w:rsid w:val="001637F1"/>
    <w:rsid w:val="001642DA"/>
    <w:rsid w:val="0016514B"/>
    <w:rsid w:val="001657A9"/>
    <w:rsid w:val="001661C4"/>
    <w:rsid w:val="001669ED"/>
    <w:rsid w:val="00166D21"/>
    <w:rsid w:val="00166F79"/>
    <w:rsid w:val="001700DE"/>
    <w:rsid w:val="001709B9"/>
    <w:rsid w:val="0017110D"/>
    <w:rsid w:val="001711B6"/>
    <w:rsid w:val="00171862"/>
    <w:rsid w:val="00172766"/>
    <w:rsid w:val="00172919"/>
    <w:rsid w:val="00172A6E"/>
    <w:rsid w:val="00173BC3"/>
    <w:rsid w:val="00175442"/>
    <w:rsid w:val="0017601C"/>
    <w:rsid w:val="00176BA4"/>
    <w:rsid w:val="0017710B"/>
    <w:rsid w:val="00181662"/>
    <w:rsid w:val="00181F43"/>
    <w:rsid w:val="00181FB5"/>
    <w:rsid w:val="00183E5C"/>
    <w:rsid w:val="00184508"/>
    <w:rsid w:val="00184F71"/>
    <w:rsid w:val="00185203"/>
    <w:rsid w:val="0018582C"/>
    <w:rsid w:val="0018691A"/>
    <w:rsid w:val="00187A08"/>
    <w:rsid w:val="00187B3C"/>
    <w:rsid w:val="00190270"/>
    <w:rsid w:val="0019082E"/>
    <w:rsid w:val="00190DF4"/>
    <w:rsid w:val="00190DF8"/>
    <w:rsid w:val="001912D5"/>
    <w:rsid w:val="0019137C"/>
    <w:rsid w:val="001913ED"/>
    <w:rsid w:val="0019560F"/>
    <w:rsid w:val="0019595C"/>
    <w:rsid w:val="001960CB"/>
    <w:rsid w:val="001962BF"/>
    <w:rsid w:val="00196CDC"/>
    <w:rsid w:val="00197D98"/>
    <w:rsid w:val="001A02BF"/>
    <w:rsid w:val="001A03FB"/>
    <w:rsid w:val="001A05A9"/>
    <w:rsid w:val="001A0A54"/>
    <w:rsid w:val="001A2B35"/>
    <w:rsid w:val="001B06E2"/>
    <w:rsid w:val="001B0806"/>
    <w:rsid w:val="001B1B94"/>
    <w:rsid w:val="001B2473"/>
    <w:rsid w:val="001B2B4D"/>
    <w:rsid w:val="001B2D57"/>
    <w:rsid w:val="001B3C9A"/>
    <w:rsid w:val="001B4680"/>
    <w:rsid w:val="001B51EC"/>
    <w:rsid w:val="001B5F21"/>
    <w:rsid w:val="001B6044"/>
    <w:rsid w:val="001B7285"/>
    <w:rsid w:val="001C06E4"/>
    <w:rsid w:val="001C0B90"/>
    <w:rsid w:val="001C1138"/>
    <w:rsid w:val="001C15E8"/>
    <w:rsid w:val="001C1B6D"/>
    <w:rsid w:val="001C2A9E"/>
    <w:rsid w:val="001C3A95"/>
    <w:rsid w:val="001C47D6"/>
    <w:rsid w:val="001C5970"/>
    <w:rsid w:val="001C61A4"/>
    <w:rsid w:val="001C7478"/>
    <w:rsid w:val="001C77EC"/>
    <w:rsid w:val="001D0A84"/>
    <w:rsid w:val="001D0DAA"/>
    <w:rsid w:val="001D18CB"/>
    <w:rsid w:val="001D24A0"/>
    <w:rsid w:val="001D4F33"/>
    <w:rsid w:val="001D5053"/>
    <w:rsid w:val="001D5777"/>
    <w:rsid w:val="001D6A07"/>
    <w:rsid w:val="001D6AB4"/>
    <w:rsid w:val="001D71AD"/>
    <w:rsid w:val="001D76A1"/>
    <w:rsid w:val="001E0F3D"/>
    <w:rsid w:val="001E159F"/>
    <w:rsid w:val="001E19F2"/>
    <w:rsid w:val="001E1C2F"/>
    <w:rsid w:val="001E1E33"/>
    <w:rsid w:val="001E2171"/>
    <w:rsid w:val="001E530B"/>
    <w:rsid w:val="001E5F50"/>
    <w:rsid w:val="001F0BC5"/>
    <w:rsid w:val="001F1CE2"/>
    <w:rsid w:val="001F1DC0"/>
    <w:rsid w:val="001F2585"/>
    <w:rsid w:val="001F33D6"/>
    <w:rsid w:val="001F4F52"/>
    <w:rsid w:val="001F4FD9"/>
    <w:rsid w:val="001F5601"/>
    <w:rsid w:val="001F5AF8"/>
    <w:rsid w:val="001F5C67"/>
    <w:rsid w:val="001F602D"/>
    <w:rsid w:val="001F784F"/>
    <w:rsid w:val="001F78E1"/>
    <w:rsid w:val="00200EDE"/>
    <w:rsid w:val="00201000"/>
    <w:rsid w:val="002027C9"/>
    <w:rsid w:val="00202A75"/>
    <w:rsid w:val="0020315E"/>
    <w:rsid w:val="00204640"/>
    <w:rsid w:val="002058A1"/>
    <w:rsid w:val="00206277"/>
    <w:rsid w:val="002064A6"/>
    <w:rsid w:val="00207D1B"/>
    <w:rsid w:val="0021063F"/>
    <w:rsid w:val="00212489"/>
    <w:rsid w:val="002133A8"/>
    <w:rsid w:val="00214370"/>
    <w:rsid w:val="002145BE"/>
    <w:rsid w:val="002162A3"/>
    <w:rsid w:val="00216510"/>
    <w:rsid w:val="002167AF"/>
    <w:rsid w:val="00217CCA"/>
    <w:rsid w:val="0022006A"/>
    <w:rsid w:val="0022315D"/>
    <w:rsid w:val="0022361E"/>
    <w:rsid w:val="00224821"/>
    <w:rsid w:val="00224A44"/>
    <w:rsid w:val="0022650D"/>
    <w:rsid w:val="002265E9"/>
    <w:rsid w:val="002272E1"/>
    <w:rsid w:val="00227963"/>
    <w:rsid w:val="00231271"/>
    <w:rsid w:val="00231314"/>
    <w:rsid w:val="002313FA"/>
    <w:rsid w:val="002313FC"/>
    <w:rsid w:val="00231F49"/>
    <w:rsid w:val="0023208B"/>
    <w:rsid w:val="002323C8"/>
    <w:rsid w:val="00232AF5"/>
    <w:rsid w:val="002337DF"/>
    <w:rsid w:val="002346B6"/>
    <w:rsid w:val="00234797"/>
    <w:rsid w:val="00235995"/>
    <w:rsid w:val="0023615F"/>
    <w:rsid w:val="00236F3E"/>
    <w:rsid w:val="00237D45"/>
    <w:rsid w:val="0024064F"/>
    <w:rsid w:val="0024087F"/>
    <w:rsid w:val="00240E30"/>
    <w:rsid w:val="002410D8"/>
    <w:rsid w:val="00241E07"/>
    <w:rsid w:val="00242370"/>
    <w:rsid w:val="002468FF"/>
    <w:rsid w:val="00246C9D"/>
    <w:rsid w:val="0024742A"/>
    <w:rsid w:val="00250EB4"/>
    <w:rsid w:val="00251F48"/>
    <w:rsid w:val="00253080"/>
    <w:rsid w:val="002536AC"/>
    <w:rsid w:val="0025503E"/>
    <w:rsid w:val="00255C7B"/>
    <w:rsid w:val="0025780C"/>
    <w:rsid w:val="0025782A"/>
    <w:rsid w:val="00260918"/>
    <w:rsid w:val="002609AD"/>
    <w:rsid w:val="0026283F"/>
    <w:rsid w:val="002631A1"/>
    <w:rsid w:val="00264188"/>
    <w:rsid w:val="002649FD"/>
    <w:rsid w:val="002659C3"/>
    <w:rsid w:val="00265CC1"/>
    <w:rsid w:val="0026786D"/>
    <w:rsid w:val="002713BF"/>
    <w:rsid w:val="00271597"/>
    <w:rsid w:val="00271618"/>
    <w:rsid w:val="00272C5C"/>
    <w:rsid w:val="0027357A"/>
    <w:rsid w:val="00273A22"/>
    <w:rsid w:val="00274E64"/>
    <w:rsid w:val="00275A9C"/>
    <w:rsid w:val="002761EF"/>
    <w:rsid w:val="00276487"/>
    <w:rsid w:val="00276D11"/>
    <w:rsid w:val="002800E1"/>
    <w:rsid w:val="002811A8"/>
    <w:rsid w:val="00281394"/>
    <w:rsid w:val="00281A6D"/>
    <w:rsid w:val="0028221A"/>
    <w:rsid w:val="00283A7F"/>
    <w:rsid w:val="00284164"/>
    <w:rsid w:val="00284940"/>
    <w:rsid w:val="00284D5A"/>
    <w:rsid w:val="00285D36"/>
    <w:rsid w:val="00286EA3"/>
    <w:rsid w:val="00290261"/>
    <w:rsid w:val="00291529"/>
    <w:rsid w:val="00291674"/>
    <w:rsid w:val="0029215C"/>
    <w:rsid w:val="00292422"/>
    <w:rsid w:val="002934DB"/>
    <w:rsid w:val="00294A37"/>
    <w:rsid w:val="00296781"/>
    <w:rsid w:val="00296EB2"/>
    <w:rsid w:val="0029718F"/>
    <w:rsid w:val="002A1B9B"/>
    <w:rsid w:val="002A1CF1"/>
    <w:rsid w:val="002A2DFC"/>
    <w:rsid w:val="002A300A"/>
    <w:rsid w:val="002A4164"/>
    <w:rsid w:val="002A41A2"/>
    <w:rsid w:val="002A41D7"/>
    <w:rsid w:val="002A524B"/>
    <w:rsid w:val="002A5DF2"/>
    <w:rsid w:val="002A5F02"/>
    <w:rsid w:val="002A666A"/>
    <w:rsid w:val="002A6716"/>
    <w:rsid w:val="002A67AD"/>
    <w:rsid w:val="002A779F"/>
    <w:rsid w:val="002A78EC"/>
    <w:rsid w:val="002B11E4"/>
    <w:rsid w:val="002B1737"/>
    <w:rsid w:val="002B17D7"/>
    <w:rsid w:val="002B1DB8"/>
    <w:rsid w:val="002B25B7"/>
    <w:rsid w:val="002B4849"/>
    <w:rsid w:val="002B58D3"/>
    <w:rsid w:val="002B6FE2"/>
    <w:rsid w:val="002C06C6"/>
    <w:rsid w:val="002C0BC5"/>
    <w:rsid w:val="002C12FD"/>
    <w:rsid w:val="002C641D"/>
    <w:rsid w:val="002C6A00"/>
    <w:rsid w:val="002C7BD5"/>
    <w:rsid w:val="002D26B6"/>
    <w:rsid w:val="002D2929"/>
    <w:rsid w:val="002D35EF"/>
    <w:rsid w:val="002D4681"/>
    <w:rsid w:val="002D4C2D"/>
    <w:rsid w:val="002D54F7"/>
    <w:rsid w:val="002D5C6E"/>
    <w:rsid w:val="002D63E3"/>
    <w:rsid w:val="002D7115"/>
    <w:rsid w:val="002D7487"/>
    <w:rsid w:val="002E0ABA"/>
    <w:rsid w:val="002E2455"/>
    <w:rsid w:val="002E4EFF"/>
    <w:rsid w:val="002E4F4E"/>
    <w:rsid w:val="002E5C83"/>
    <w:rsid w:val="002E6BA9"/>
    <w:rsid w:val="002E7B4D"/>
    <w:rsid w:val="002E7C14"/>
    <w:rsid w:val="002F0B25"/>
    <w:rsid w:val="002F1A5B"/>
    <w:rsid w:val="002F3E42"/>
    <w:rsid w:val="002F4735"/>
    <w:rsid w:val="002F5098"/>
    <w:rsid w:val="002F5BCE"/>
    <w:rsid w:val="002F7FCF"/>
    <w:rsid w:val="003005A8"/>
    <w:rsid w:val="00300953"/>
    <w:rsid w:val="00301E06"/>
    <w:rsid w:val="0030232D"/>
    <w:rsid w:val="003027AC"/>
    <w:rsid w:val="0030343E"/>
    <w:rsid w:val="0030477E"/>
    <w:rsid w:val="00304EA7"/>
    <w:rsid w:val="00306410"/>
    <w:rsid w:val="00306B43"/>
    <w:rsid w:val="00307536"/>
    <w:rsid w:val="00307A27"/>
    <w:rsid w:val="00307FC1"/>
    <w:rsid w:val="003104CD"/>
    <w:rsid w:val="00310F56"/>
    <w:rsid w:val="003115A6"/>
    <w:rsid w:val="00311F1D"/>
    <w:rsid w:val="00312DDE"/>
    <w:rsid w:val="00315DF0"/>
    <w:rsid w:val="00317D25"/>
    <w:rsid w:val="0032425C"/>
    <w:rsid w:val="003245BF"/>
    <w:rsid w:val="0032590E"/>
    <w:rsid w:val="00326F0A"/>
    <w:rsid w:val="00327A19"/>
    <w:rsid w:val="00331597"/>
    <w:rsid w:val="0033298A"/>
    <w:rsid w:val="00332EDE"/>
    <w:rsid w:val="00333021"/>
    <w:rsid w:val="00333EA3"/>
    <w:rsid w:val="0033484F"/>
    <w:rsid w:val="00336648"/>
    <w:rsid w:val="003366A6"/>
    <w:rsid w:val="003369ED"/>
    <w:rsid w:val="00336C0A"/>
    <w:rsid w:val="0033720A"/>
    <w:rsid w:val="00337785"/>
    <w:rsid w:val="00337DFA"/>
    <w:rsid w:val="00340349"/>
    <w:rsid w:val="0034046F"/>
    <w:rsid w:val="00340559"/>
    <w:rsid w:val="0034265B"/>
    <w:rsid w:val="00342691"/>
    <w:rsid w:val="003428F0"/>
    <w:rsid w:val="00343AB8"/>
    <w:rsid w:val="003440A5"/>
    <w:rsid w:val="00346D44"/>
    <w:rsid w:val="00347D33"/>
    <w:rsid w:val="00350903"/>
    <w:rsid w:val="00351BA0"/>
    <w:rsid w:val="00354B8E"/>
    <w:rsid w:val="003552C4"/>
    <w:rsid w:val="003564AB"/>
    <w:rsid w:val="0036049F"/>
    <w:rsid w:val="00361298"/>
    <w:rsid w:val="003614A3"/>
    <w:rsid w:val="003639F5"/>
    <w:rsid w:val="00364119"/>
    <w:rsid w:val="003647FA"/>
    <w:rsid w:val="0036620D"/>
    <w:rsid w:val="00366F53"/>
    <w:rsid w:val="00367185"/>
    <w:rsid w:val="003677BC"/>
    <w:rsid w:val="00367924"/>
    <w:rsid w:val="003713FD"/>
    <w:rsid w:val="00371CA7"/>
    <w:rsid w:val="00374864"/>
    <w:rsid w:val="00374E3B"/>
    <w:rsid w:val="00375521"/>
    <w:rsid w:val="00376817"/>
    <w:rsid w:val="00376B75"/>
    <w:rsid w:val="003776EE"/>
    <w:rsid w:val="00377AD8"/>
    <w:rsid w:val="00377D08"/>
    <w:rsid w:val="00377F94"/>
    <w:rsid w:val="00380DA4"/>
    <w:rsid w:val="00380F33"/>
    <w:rsid w:val="003834A6"/>
    <w:rsid w:val="00383BF7"/>
    <w:rsid w:val="00386812"/>
    <w:rsid w:val="00387792"/>
    <w:rsid w:val="00391EC5"/>
    <w:rsid w:val="00392000"/>
    <w:rsid w:val="00393066"/>
    <w:rsid w:val="00394F8A"/>
    <w:rsid w:val="0039587A"/>
    <w:rsid w:val="00395ABB"/>
    <w:rsid w:val="003963B2"/>
    <w:rsid w:val="00396E02"/>
    <w:rsid w:val="00396EC1"/>
    <w:rsid w:val="00397474"/>
    <w:rsid w:val="003A04DD"/>
    <w:rsid w:val="003A2D1F"/>
    <w:rsid w:val="003A4AEE"/>
    <w:rsid w:val="003A5AA2"/>
    <w:rsid w:val="003A5D85"/>
    <w:rsid w:val="003A63DC"/>
    <w:rsid w:val="003A67B6"/>
    <w:rsid w:val="003A6D21"/>
    <w:rsid w:val="003A70A3"/>
    <w:rsid w:val="003A7654"/>
    <w:rsid w:val="003B01DE"/>
    <w:rsid w:val="003B4A66"/>
    <w:rsid w:val="003B5196"/>
    <w:rsid w:val="003B5AE6"/>
    <w:rsid w:val="003B5C44"/>
    <w:rsid w:val="003B60E7"/>
    <w:rsid w:val="003B69E7"/>
    <w:rsid w:val="003B6AF0"/>
    <w:rsid w:val="003B7586"/>
    <w:rsid w:val="003B75C1"/>
    <w:rsid w:val="003B7D1E"/>
    <w:rsid w:val="003C0203"/>
    <w:rsid w:val="003C0EF8"/>
    <w:rsid w:val="003C1389"/>
    <w:rsid w:val="003C23F8"/>
    <w:rsid w:val="003C33CE"/>
    <w:rsid w:val="003C3879"/>
    <w:rsid w:val="003C468A"/>
    <w:rsid w:val="003C4C81"/>
    <w:rsid w:val="003C4EEE"/>
    <w:rsid w:val="003C50F5"/>
    <w:rsid w:val="003C5805"/>
    <w:rsid w:val="003C59E8"/>
    <w:rsid w:val="003C6BCC"/>
    <w:rsid w:val="003C7111"/>
    <w:rsid w:val="003C718F"/>
    <w:rsid w:val="003C7B96"/>
    <w:rsid w:val="003D036E"/>
    <w:rsid w:val="003D08DA"/>
    <w:rsid w:val="003D19D0"/>
    <w:rsid w:val="003D35E8"/>
    <w:rsid w:val="003D42ED"/>
    <w:rsid w:val="003D47CE"/>
    <w:rsid w:val="003D4C4C"/>
    <w:rsid w:val="003D6A14"/>
    <w:rsid w:val="003D6ED0"/>
    <w:rsid w:val="003D774F"/>
    <w:rsid w:val="003D7F8D"/>
    <w:rsid w:val="003E07F6"/>
    <w:rsid w:val="003E0E89"/>
    <w:rsid w:val="003E1AFF"/>
    <w:rsid w:val="003E20D4"/>
    <w:rsid w:val="003E21BD"/>
    <w:rsid w:val="003E31EE"/>
    <w:rsid w:val="003E365D"/>
    <w:rsid w:val="003E3805"/>
    <w:rsid w:val="003E4225"/>
    <w:rsid w:val="003E48FE"/>
    <w:rsid w:val="003E5D72"/>
    <w:rsid w:val="003E60EB"/>
    <w:rsid w:val="003E6620"/>
    <w:rsid w:val="003E6846"/>
    <w:rsid w:val="003E6973"/>
    <w:rsid w:val="003E6F0F"/>
    <w:rsid w:val="003F0521"/>
    <w:rsid w:val="003F08C0"/>
    <w:rsid w:val="003F0CE9"/>
    <w:rsid w:val="003F0D91"/>
    <w:rsid w:val="003F0EB6"/>
    <w:rsid w:val="003F1437"/>
    <w:rsid w:val="003F306E"/>
    <w:rsid w:val="003F45F5"/>
    <w:rsid w:val="003F4719"/>
    <w:rsid w:val="003F4969"/>
    <w:rsid w:val="003F4BFF"/>
    <w:rsid w:val="003F7A5D"/>
    <w:rsid w:val="003F7D62"/>
    <w:rsid w:val="0040090C"/>
    <w:rsid w:val="00400F1D"/>
    <w:rsid w:val="004010D0"/>
    <w:rsid w:val="0040165F"/>
    <w:rsid w:val="004022FB"/>
    <w:rsid w:val="00406ADE"/>
    <w:rsid w:val="00406B85"/>
    <w:rsid w:val="004102C1"/>
    <w:rsid w:val="0041045C"/>
    <w:rsid w:val="00410479"/>
    <w:rsid w:val="004109B9"/>
    <w:rsid w:val="00412125"/>
    <w:rsid w:val="00412CFB"/>
    <w:rsid w:val="00412E54"/>
    <w:rsid w:val="004131AC"/>
    <w:rsid w:val="0041418B"/>
    <w:rsid w:val="00414680"/>
    <w:rsid w:val="00415439"/>
    <w:rsid w:val="00416382"/>
    <w:rsid w:val="00416A83"/>
    <w:rsid w:val="004208E5"/>
    <w:rsid w:val="004211E5"/>
    <w:rsid w:val="00421ABC"/>
    <w:rsid w:val="00422180"/>
    <w:rsid w:val="00422DAA"/>
    <w:rsid w:val="00423B97"/>
    <w:rsid w:val="00424556"/>
    <w:rsid w:val="00424E7C"/>
    <w:rsid w:val="0042519B"/>
    <w:rsid w:val="004259D4"/>
    <w:rsid w:val="00425E8E"/>
    <w:rsid w:val="0042621A"/>
    <w:rsid w:val="004266CE"/>
    <w:rsid w:val="00426FA4"/>
    <w:rsid w:val="00431194"/>
    <w:rsid w:val="00434071"/>
    <w:rsid w:val="00434225"/>
    <w:rsid w:val="004346CD"/>
    <w:rsid w:val="00434FB7"/>
    <w:rsid w:val="004366AB"/>
    <w:rsid w:val="0043716D"/>
    <w:rsid w:val="004373ED"/>
    <w:rsid w:val="00437482"/>
    <w:rsid w:val="00441717"/>
    <w:rsid w:val="004428D9"/>
    <w:rsid w:val="004444C0"/>
    <w:rsid w:val="00444D86"/>
    <w:rsid w:val="00445095"/>
    <w:rsid w:val="004457A0"/>
    <w:rsid w:val="00446473"/>
    <w:rsid w:val="00446C63"/>
    <w:rsid w:val="00446DF9"/>
    <w:rsid w:val="0044721C"/>
    <w:rsid w:val="00450696"/>
    <w:rsid w:val="00450D77"/>
    <w:rsid w:val="00451155"/>
    <w:rsid w:val="00451CBB"/>
    <w:rsid w:val="00453425"/>
    <w:rsid w:val="00454523"/>
    <w:rsid w:val="004548B2"/>
    <w:rsid w:val="00457341"/>
    <w:rsid w:val="00460A7B"/>
    <w:rsid w:val="00460F76"/>
    <w:rsid w:val="00461109"/>
    <w:rsid w:val="0046216A"/>
    <w:rsid w:val="00462B10"/>
    <w:rsid w:val="00465EE5"/>
    <w:rsid w:val="004662D4"/>
    <w:rsid w:val="00467548"/>
    <w:rsid w:val="0047027A"/>
    <w:rsid w:val="004709C1"/>
    <w:rsid w:val="00474E0B"/>
    <w:rsid w:val="00475EC6"/>
    <w:rsid w:val="004763CD"/>
    <w:rsid w:val="004773C7"/>
    <w:rsid w:val="00480301"/>
    <w:rsid w:val="00480453"/>
    <w:rsid w:val="00480C43"/>
    <w:rsid w:val="00481B81"/>
    <w:rsid w:val="0048229D"/>
    <w:rsid w:val="004824D5"/>
    <w:rsid w:val="004825C9"/>
    <w:rsid w:val="00483DF4"/>
    <w:rsid w:val="004845EF"/>
    <w:rsid w:val="00484A3B"/>
    <w:rsid w:val="00486306"/>
    <w:rsid w:val="004863C9"/>
    <w:rsid w:val="00486AB3"/>
    <w:rsid w:val="00487486"/>
    <w:rsid w:val="00492114"/>
    <w:rsid w:val="004923E9"/>
    <w:rsid w:val="00492645"/>
    <w:rsid w:val="00492BF2"/>
    <w:rsid w:val="00492E76"/>
    <w:rsid w:val="00493DB0"/>
    <w:rsid w:val="00494FBC"/>
    <w:rsid w:val="00495A44"/>
    <w:rsid w:val="00496172"/>
    <w:rsid w:val="00496174"/>
    <w:rsid w:val="00496B36"/>
    <w:rsid w:val="0049783B"/>
    <w:rsid w:val="004A0940"/>
    <w:rsid w:val="004A1981"/>
    <w:rsid w:val="004A1BB7"/>
    <w:rsid w:val="004A1DE2"/>
    <w:rsid w:val="004A2F1A"/>
    <w:rsid w:val="004A42C3"/>
    <w:rsid w:val="004A57A0"/>
    <w:rsid w:val="004A6511"/>
    <w:rsid w:val="004A792D"/>
    <w:rsid w:val="004A7EEA"/>
    <w:rsid w:val="004B023B"/>
    <w:rsid w:val="004B03DE"/>
    <w:rsid w:val="004B1235"/>
    <w:rsid w:val="004B14A5"/>
    <w:rsid w:val="004B17E6"/>
    <w:rsid w:val="004B2CD9"/>
    <w:rsid w:val="004B2D25"/>
    <w:rsid w:val="004B392A"/>
    <w:rsid w:val="004B5027"/>
    <w:rsid w:val="004B590F"/>
    <w:rsid w:val="004B5F69"/>
    <w:rsid w:val="004B6190"/>
    <w:rsid w:val="004C15F0"/>
    <w:rsid w:val="004C1EDA"/>
    <w:rsid w:val="004C297D"/>
    <w:rsid w:val="004C332E"/>
    <w:rsid w:val="004C4411"/>
    <w:rsid w:val="004C4A6C"/>
    <w:rsid w:val="004C6E53"/>
    <w:rsid w:val="004C7475"/>
    <w:rsid w:val="004C7C60"/>
    <w:rsid w:val="004D2A5F"/>
    <w:rsid w:val="004D33F3"/>
    <w:rsid w:val="004D482C"/>
    <w:rsid w:val="004D60E4"/>
    <w:rsid w:val="004D664B"/>
    <w:rsid w:val="004D7C2B"/>
    <w:rsid w:val="004E1894"/>
    <w:rsid w:val="004E3C47"/>
    <w:rsid w:val="004E40DA"/>
    <w:rsid w:val="004E4460"/>
    <w:rsid w:val="004E4B8A"/>
    <w:rsid w:val="004E4BED"/>
    <w:rsid w:val="004E5185"/>
    <w:rsid w:val="004E52B3"/>
    <w:rsid w:val="004E553D"/>
    <w:rsid w:val="004E5729"/>
    <w:rsid w:val="004E58C6"/>
    <w:rsid w:val="004E6018"/>
    <w:rsid w:val="004E6235"/>
    <w:rsid w:val="004E748D"/>
    <w:rsid w:val="004F0E0F"/>
    <w:rsid w:val="004F0EE9"/>
    <w:rsid w:val="004F1D20"/>
    <w:rsid w:val="004F3F00"/>
    <w:rsid w:val="004F5F8B"/>
    <w:rsid w:val="004F61B4"/>
    <w:rsid w:val="004F63E7"/>
    <w:rsid w:val="004F7835"/>
    <w:rsid w:val="005012BD"/>
    <w:rsid w:val="0050261F"/>
    <w:rsid w:val="00505AE5"/>
    <w:rsid w:val="00505DCD"/>
    <w:rsid w:val="00506DCD"/>
    <w:rsid w:val="00506F96"/>
    <w:rsid w:val="005070CF"/>
    <w:rsid w:val="0051291A"/>
    <w:rsid w:val="0051387C"/>
    <w:rsid w:val="00514906"/>
    <w:rsid w:val="0051548F"/>
    <w:rsid w:val="00515985"/>
    <w:rsid w:val="0051632D"/>
    <w:rsid w:val="00516D53"/>
    <w:rsid w:val="00521543"/>
    <w:rsid w:val="00521ACE"/>
    <w:rsid w:val="00522535"/>
    <w:rsid w:val="00522779"/>
    <w:rsid w:val="005230E1"/>
    <w:rsid w:val="005243C1"/>
    <w:rsid w:val="00524529"/>
    <w:rsid w:val="00524E1F"/>
    <w:rsid w:val="005253D7"/>
    <w:rsid w:val="0052581C"/>
    <w:rsid w:val="005264E4"/>
    <w:rsid w:val="00530314"/>
    <w:rsid w:val="00530CC4"/>
    <w:rsid w:val="0053103C"/>
    <w:rsid w:val="0053113E"/>
    <w:rsid w:val="00532577"/>
    <w:rsid w:val="0053435C"/>
    <w:rsid w:val="005343C4"/>
    <w:rsid w:val="0053486D"/>
    <w:rsid w:val="00535E07"/>
    <w:rsid w:val="00536C0C"/>
    <w:rsid w:val="00536C41"/>
    <w:rsid w:val="00537469"/>
    <w:rsid w:val="00540098"/>
    <w:rsid w:val="005415B5"/>
    <w:rsid w:val="00542478"/>
    <w:rsid w:val="005427A1"/>
    <w:rsid w:val="00542C13"/>
    <w:rsid w:val="005437CC"/>
    <w:rsid w:val="00543889"/>
    <w:rsid w:val="00543D7D"/>
    <w:rsid w:val="00545563"/>
    <w:rsid w:val="00546279"/>
    <w:rsid w:val="00546F83"/>
    <w:rsid w:val="00550024"/>
    <w:rsid w:val="0055070F"/>
    <w:rsid w:val="0055127A"/>
    <w:rsid w:val="005525B9"/>
    <w:rsid w:val="0055279D"/>
    <w:rsid w:val="00553F3D"/>
    <w:rsid w:val="00554234"/>
    <w:rsid w:val="00554DA5"/>
    <w:rsid w:val="00560BEC"/>
    <w:rsid w:val="00562630"/>
    <w:rsid w:val="00563DA0"/>
    <w:rsid w:val="005655AB"/>
    <w:rsid w:val="00566017"/>
    <w:rsid w:val="00566B95"/>
    <w:rsid w:val="005706BB"/>
    <w:rsid w:val="00570B7E"/>
    <w:rsid w:val="005714C0"/>
    <w:rsid w:val="00571713"/>
    <w:rsid w:val="005719DB"/>
    <w:rsid w:val="00573E84"/>
    <w:rsid w:val="00573EC0"/>
    <w:rsid w:val="00573F2D"/>
    <w:rsid w:val="00574058"/>
    <w:rsid w:val="00574611"/>
    <w:rsid w:val="00574F93"/>
    <w:rsid w:val="0057512B"/>
    <w:rsid w:val="00577A0F"/>
    <w:rsid w:val="005816C7"/>
    <w:rsid w:val="00581739"/>
    <w:rsid w:val="00581BFC"/>
    <w:rsid w:val="005828AA"/>
    <w:rsid w:val="00584163"/>
    <w:rsid w:val="00584FDF"/>
    <w:rsid w:val="00585407"/>
    <w:rsid w:val="00585B68"/>
    <w:rsid w:val="00586BAF"/>
    <w:rsid w:val="005871CF"/>
    <w:rsid w:val="0058781C"/>
    <w:rsid w:val="00587839"/>
    <w:rsid w:val="00591F85"/>
    <w:rsid w:val="00592047"/>
    <w:rsid w:val="0059294C"/>
    <w:rsid w:val="00592DC3"/>
    <w:rsid w:val="00594909"/>
    <w:rsid w:val="00594C09"/>
    <w:rsid w:val="00594FA7"/>
    <w:rsid w:val="00595600"/>
    <w:rsid w:val="00596DEC"/>
    <w:rsid w:val="0059780E"/>
    <w:rsid w:val="00597E2D"/>
    <w:rsid w:val="005A01A9"/>
    <w:rsid w:val="005A022A"/>
    <w:rsid w:val="005A0FEF"/>
    <w:rsid w:val="005A3F84"/>
    <w:rsid w:val="005A414F"/>
    <w:rsid w:val="005A4194"/>
    <w:rsid w:val="005A4AF2"/>
    <w:rsid w:val="005A4ECD"/>
    <w:rsid w:val="005A5F77"/>
    <w:rsid w:val="005A7BED"/>
    <w:rsid w:val="005B1F36"/>
    <w:rsid w:val="005B2DBE"/>
    <w:rsid w:val="005B3195"/>
    <w:rsid w:val="005B3D8F"/>
    <w:rsid w:val="005B3DB5"/>
    <w:rsid w:val="005B3E97"/>
    <w:rsid w:val="005B7825"/>
    <w:rsid w:val="005B7D34"/>
    <w:rsid w:val="005C0E86"/>
    <w:rsid w:val="005C1915"/>
    <w:rsid w:val="005C211D"/>
    <w:rsid w:val="005C2150"/>
    <w:rsid w:val="005C53CA"/>
    <w:rsid w:val="005C64E8"/>
    <w:rsid w:val="005C6FFB"/>
    <w:rsid w:val="005C76A0"/>
    <w:rsid w:val="005D13D6"/>
    <w:rsid w:val="005D352F"/>
    <w:rsid w:val="005D4DBA"/>
    <w:rsid w:val="005D4ED8"/>
    <w:rsid w:val="005D6072"/>
    <w:rsid w:val="005D68B0"/>
    <w:rsid w:val="005D68C3"/>
    <w:rsid w:val="005D6D7A"/>
    <w:rsid w:val="005E0D57"/>
    <w:rsid w:val="005E10E7"/>
    <w:rsid w:val="005E1EBF"/>
    <w:rsid w:val="005E437D"/>
    <w:rsid w:val="005E53C2"/>
    <w:rsid w:val="005E6485"/>
    <w:rsid w:val="005E65EE"/>
    <w:rsid w:val="005F0774"/>
    <w:rsid w:val="005F1D30"/>
    <w:rsid w:val="005F2AEC"/>
    <w:rsid w:val="005F2C69"/>
    <w:rsid w:val="005F2E59"/>
    <w:rsid w:val="005F3542"/>
    <w:rsid w:val="005F3712"/>
    <w:rsid w:val="005F640D"/>
    <w:rsid w:val="005F64A6"/>
    <w:rsid w:val="005F6926"/>
    <w:rsid w:val="005F6DD7"/>
    <w:rsid w:val="005F6EB4"/>
    <w:rsid w:val="005F6EF9"/>
    <w:rsid w:val="005F7262"/>
    <w:rsid w:val="00600188"/>
    <w:rsid w:val="00601B2A"/>
    <w:rsid w:val="00602F0E"/>
    <w:rsid w:val="00603E4C"/>
    <w:rsid w:val="006042C0"/>
    <w:rsid w:val="0060564D"/>
    <w:rsid w:val="0060575F"/>
    <w:rsid w:val="00607DFE"/>
    <w:rsid w:val="00611D51"/>
    <w:rsid w:val="00611EE4"/>
    <w:rsid w:val="00612AA5"/>
    <w:rsid w:val="00613A1D"/>
    <w:rsid w:val="00614C26"/>
    <w:rsid w:val="00614F7C"/>
    <w:rsid w:val="00615C99"/>
    <w:rsid w:val="0061614E"/>
    <w:rsid w:val="006165D6"/>
    <w:rsid w:val="0061674E"/>
    <w:rsid w:val="00616A4F"/>
    <w:rsid w:val="00620325"/>
    <w:rsid w:val="00620FC3"/>
    <w:rsid w:val="0062131B"/>
    <w:rsid w:val="00621825"/>
    <w:rsid w:val="006235BC"/>
    <w:rsid w:val="00624418"/>
    <w:rsid w:val="0062515D"/>
    <w:rsid w:val="006251A4"/>
    <w:rsid w:val="00625282"/>
    <w:rsid w:val="0062533F"/>
    <w:rsid w:val="00625915"/>
    <w:rsid w:val="006266F9"/>
    <w:rsid w:val="00627051"/>
    <w:rsid w:val="0063024A"/>
    <w:rsid w:val="006302C8"/>
    <w:rsid w:val="006309C3"/>
    <w:rsid w:val="006313C7"/>
    <w:rsid w:val="0063190B"/>
    <w:rsid w:val="0063212F"/>
    <w:rsid w:val="00632297"/>
    <w:rsid w:val="006338D5"/>
    <w:rsid w:val="00633ADE"/>
    <w:rsid w:val="006369D7"/>
    <w:rsid w:val="00637392"/>
    <w:rsid w:val="0063769F"/>
    <w:rsid w:val="0063796A"/>
    <w:rsid w:val="0064037F"/>
    <w:rsid w:val="0064045D"/>
    <w:rsid w:val="00640845"/>
    <w:rsid w:val="006416A8"/>
    <w:rsid w:val="006416C1"/>
    <w:rsid w:val="00641A2D"/>
    <w:rsid w:val="00641D1C"/>
    <w:rsid w:val="00641F80"/>
    <w:rsid w:val="00642286"/>
    <w:rsid w:val="00642B17"/>
    <w:rsid w:val="006448D4"/>
    <w:rsid w:val="0064524B"/>
    <w:rsid w:val="0064775B"/>
    <w:rsid w:val="006478CC"/>
    <w:rsid w:val="0064792A"/>
    <w:rsid w:val="00651166"/>
    <w:rsid w:val="00651F47"/>
    <w:rsid w:val="0065271C"/>
    <w:rsid w:val="00652950"/>
    <w:rsid w:val="0065298A"/>
    <w:rsid w:val="00652DD4"/>
    <w:rsid w:val="00653D8C"/>
    <w:rsid w:val="00653F4B"/>
    <w:rsid w:val="00654181"/>
    <w:rsid w:val="00654A6A"/>
    <w:rsid w:val="006550C9"/>
    <w:rsid w:val="0065586A"/>
    <w:rsid w:val="0065620A"/>
    <w:rsid w:val="00656F4F"/>
    <w:rsid w:val="00657715"/>
    <w:rsid w:val="00657993"/>
    <w:rsid w:val="00660732"/>
    <w:rsid w:val="0066077A"/>
    <w:rsid w:val="006616F1"/>
    <w:rsid w:val="00664616"/>
    <w:rsid w:val="00664985"/>
    <w:rsid w:val="00664E2D"/>
    <w:rsid w:val="00665854"/>
    <w:rsid w:val="00665FFC"/>
    <w:rsid w:val="00666781"/>
    <w:rsid w:val="00666EE9"/>
    <w:rsid w:val="00667BB2"/>
    <w:rsid w:val="00670A46"/>
    <w:rsid w:val="00671ABE"/>
    <w:rsid w:val="00671D41"/>
    <w:rsid w:val="00673046"/>
    <w:rsid w:val="00674547"/>
    <w:rsid w:val="00674CF0"/>
    <w:rsid w:val="00675547"/>
    <w:rsid w:val="00675BF5"/>
    <w:rsid w:val="006760AF"/>
    <w:rsid w:val="00677003"/>
    <w:rsid w:val="00677CE6"/>
    <w:rsid w:val="00680318"/>
    <w:rsid w:val="00680473"/>
    <w:rsid w:val="006806C5"/>
    <w:rsid w:val="0068077E"/>
    <w:rsid w:val="00682192"/>
    <w:rsid w:val="00682FE0"/>
    <w:rsid w:val="00685A0A"/>
    <w:rsid w:val="00686A12"/>
    <w:rsid w:val="00690E62"/>
    <w:rsid w:val="00690F4F"/>
    <w:rsid w:val="00691143"/>
    <w:rsid w:val="006926E8"/>
    <w:rsid w:val="00692F1D"/>
    <w:rsid w:val="00694CF2"/>
    <w:rsid w:val="00695665"/>
    <w:rsid w:val="00697046"/>
    <w:rsid w:val="00697067"/>
    <w:rsid w:val="006971E0"/>
    <w:rsid w:val="006A12BD"/>
    <w:rsid w:val="006A1E4A"/>
    <w:rsid w:val="006A2B48"/>
    <w:rsid w:val="006A48E2"/>
    <w:rsid w:val="006A5366"/>
    <w:rsid w:val="006A5A6C"/>
    <w:rsid w:val="006A5F8E"/>
    <w:rsid w:val="006A6778"/>
    <w:rsid w:val="006A6A44"/>
    <w:rsid w:val="006A7219"/>
    <w:rsid w:val="006A72D8"/>
    <w:rsid w:val="006A7404"/>
    <w:rsid w:val="006B17C5"/>
    <w:rsid w:val="006B1C73"/>
    <w:rsid w:val="006B4821"/>
    <w:rsid w:val="006B4AD2"/>
    <w:rsid w:val="006B6CD3"/>
    <w:rsid w:val="006B7289"/>
    <w:rsid w:val="006B7C41"/>
    <w:rsid w:val="006C0E7C"/>
    <w:rsid w:val="006C0F95"/>
    <w:rsid w:val="006C27FD"/>
    <w:rsid w:val="006C3BEE"/>
    <w:rsid w:val="006C4CF2"/>
    <w:rsid w:val="006C5200"/>
    <w:rsid w:val="006C5F0F"/>
    <w:rsid w:val="006C65EE"/>
    <w:rsid w:val="006C6F40"/>
    <w:rsid w:val="006C75D2"/>
    <w:rsid w:val="006C774F"/>
    <w:rsid w:val="006D0901"/>
    <w:rsid w:val="006D1B88"/>
    <w:rsid w:val="006D273E"/>
    <w:rsid w:val="006D3921"/>
    <w:rsid w:val="006D540C"/>
    <w:rsid w:val="006D6CFA"/>
    <w:rsid w:val="006D6D2E"/>
    <w:rsid w:val="006E1661"/>
    <w:rsid w:val="006E1C1F"/>
    <w:rsid w:val="006E1E29"/>
    <w:rsid w:val="006E2ADA"/>
    <w:rsid w:val="006E345B"/>
    <w:rsid w:val="006E3D93"/>
    <w:rsid w:val="006E58B3"/>
    <w:rsid w:val="006E5DCE"/>
    <w:rsid w:val="006E6A53"/>
    <w:rsid w:val="006E7D57"/>
    <w:rsid w:val="006E7FDC"/>
    <w:rsid w:val="006F0290"/>
    <w:rsid w:val="006F04BF"/>
    <w:rsid w:val="006F1A57"/>
    <w:rsid w:val="006F24C6"/>
    <w:rsid w:val="006F2B98"/>
    <w:rsid w:val="006F33F4"/>
    <w:rsid w:val="006F3A18"/>
    <w:rsid w:val="006F4B39"/>
    <w:rsid w:val="006F5722"/>
    <w:rsid w:val="006F5E0C"/>
    <w:rsid w:val="006F5E42"/>
    <w:rsid w:val="006F78BE"/>
    <w:rsid w:val="006F7A9E"/>
    <w:rsid w:val="00700675"/>
    <w:rsid w:val="00700A2E"/>
    <w:rsid w:val="0070184C"/>
    <w:rsid w:val="00701CE7"/>
    <w:rsid w:val="00701E27"/>
    <w:rsid w:val="00702426"/>
    <w:rsid w:val="00703077"/>
    <w:rsid w:val="007034F9"/>
    <w:rsid w:val="0070478A"/>
    <w:rsid w:val="00704908"/>
    <w:rsid w:val="007065FC"/>
    <w:rsid w:val="00706C80"/>
    <w:rsid w:val="00707D87"/>
    <w:rsid w:val="0071090A"/>
    <w:rsid w:val="00711943"/>
    <w:rsid w:val="007119C7"/>
    <w:rsid w:val="007122F0"/>
    <w:rsid w:val="00712BB7"/>
    <w:rsid w:val="00712EF4"/>
    <w:rsid w:val="00714E60"/>
    <w:rsid w:val="00715103"/>
    <w:rsid w:val="0071715D"/>
    <w:rsid w:val="00717967"/>
    <w:rsid w:val="00720911"/>
    <w:rsid w:val="00721567"/>
    <w:rsid w:val="007219B2"/>
    <w:rsid w:val="00721CEE"/>
    <w:rsid w:val="00722E6D"/>
    <w:rsid w:val="00723104"/>
    <w:rsid w:val="007234CB"/>
    <w:rsid w:val="0072430D"/>
    <w:rsid w:val="00724600"/>
    <w:rsid w:val="00725BC2"/>
    <w:rsid w:val="007276EB"/>
    <w:rsid w:val="0072772E"/>
    <w:rsid w:val="00730CEF"/>
    <w:rsid w:val="007318A5"/>
    <w:rsid w:val="00731BFE"/>
    <w:rsid w:val="007327C6"/>
    <w:rsid w:val="00732DE9"/>
    <w:rsid w:val="00733749"/>
    <w:rsid w:val="00733766"/>
    <w:rsid w:val="00734251"/>
    <w:rsid w:val="007362D1"/>
    <w:rsid w:val="00740C75"/>
    <w:rsid w:val="007417AB"/>
    <w:rsid w:val="007427A1"/>
    <w:rsid w:val="00743124"/>
    <w:rsid w:val="007437B4"/>
    <w:rsid w:val="007446FA"/>
    <w:rsid w:val="007451EE"/>
    <w:rsid w:val="00745647"/>
    <w:rsid w:val="00745661"/>
    <w:rsid w:val="00745763"/>
    <w:rsid w:val="00746218"/>
    <w:rsid w:val="0074769D"/>
    <w:rsid w:val="007477B2"/>
    <w:rsid w:val="00750078"/>
    <w:rsid w:val="00751A65"/>
    <w:rsid w:val="00751BD6"/>
    <w:rsid w:val="0075237F"/>
    <w:rsid w:val="007527A2"/>
    <w:rsid w:val="007528FB"/>
    <w:rsid w:val="007532DC"/>
    <w:rsid w:val="00754584"/>
    <w:rsid w:val="00754C5B"/>
    <w:rsid w:val="00754CB9"/>
    <w:rsid w:val="00754CE0"/>
    <w:rsid w:val="0075509C"/>
    <w:rsid w:val="00755C43"/>
    <w:rsid w:val="007562CC"/>
    <w:rsid w:val="007563BC"/>
    <w:rsid w:val="007563D5"/>
    <w:rsid w:val="007568F8"/>
    <w:rsid w:val="00756ED0"/>
    <w:rsid w:val="00757BC9"/>
    <w:rsid w:val="00760DD6"/>
    <w:rsid w:val="00761D7A"/>
    <w:rsid w:val="0076321E"/>
    <w:rsid w:val="00763ABA"/>
    <w:rsid w:val="0076435D"/>
    <w:rsid w:val="007652C2"/>
    <w:rsid w:val="00767437"/>
    <w:rsid w:val="00767FB8"/>
    <w:rsid w:val="0077030C"/>
    <w:rsid w:val="00770C1C"/>
    <w:rsid w:val="00771371"/>
    <w:rsid w:val="00771BED"/>
    <w:rsid w:val="007724F7"/>
    <w:rsid w:val="0077308A"/>
    <w:rsid w:val="0077429E"/>
    <w:rsid w:val="007753CD"/>
    <w:rsid w:val="00776953"/>
    <w:rsid w:val="00777483"/>
    <w:rsid w:val="007779E4"/>
    <w:rsid w:val="00780065"/>
    <w:rsid w:val="007804D2"/>
    <w:rsid w:val="007810D5"/>
    <w:rsid w:val="007817D6"/>
    <w:rsid w:val="0078365D"/>
    <w:rsid w:val="007839E0"/>
    <w:rsid w:val="00783A0B"/>
    <w:rsid w:val="00784A67"/>
    <w:rsid w:val="00784EF8"/>
    <w:rsid w:val="00787A0D"/>
    <w:rsid w:val="0079046C"/>
    <w:rsid w:val="0079061A"/>
    <w:rsid w:val="007916A3"/>
    <w:rsid w:val="00791D3D"/>
    <w:rsid w:val="00792BB8"/>
    <w:rsid w:val="00793F1F"/>
    <w:rsid w:val="0079439E"/>
    <w:rsid w:val="00795CD9"/>
    <w:rsid w:val="00795CFA"/>
    <w:rsid w:val="007A04CC"/>
    <w:rsid w:val="007A0693"/>
    <w:rsid w:val="007A0C65"/>
    <w:rsid w:val="007A16D5"/>
    <w:rsid w:val="007A1B57"/>
    <w:rsid w:val="007A27B0"/>
    <w:rsid w:val="007A5110"/>
    <w:rsid w:val="007A6A36"/>
    <w:rsid w:val="007B0D4E"/>
    <w:rsid w:val="007B10AB"/>
    <w:rsid w:val="007B110F"/>
    <w:rsid w:val="007B14E1"/>
    <w:rsid w:val="007B2ED4"/>
    <w:rsid w:val="007B2F61"/>
    <w:rsid w:val="007B62DD"/>
    <w:rsid w:val="007B68F5"/>
    <w:rsid w:val="007C20DE"/>
    <w:rsid w:val="007C27D8"/>
    <w:rsid w:val="007C2804"/>
    <w:rsid w:val="007C2F97"/>
    <w:rsid w:val="007C4107"/>
    <w:rsid w:val="007C4EDC"/>
    <w:rsid w:val="007C61AD"/>
    <w:rsid w:val="007C6F37"/>
    <w:rsid w:val="007C7142"/>
    <w:rsid w:val="007D01F8"/>
    <w:rsid w:val="007D0AD3"/>
    <w:rsid w:val="007D12C4"/>
    <w:rsid w:val="007D1B34"/>
    <w:rsid w:val="007D322D"/>
    <w:rsid w:val="007D3711"/>
    <w:rsid w:val="007D480F"/>
    <w:rsid w:val="007D5C10"/>
    <w:rsid w:val="007D7D01"/>
    <w:rsid w:val="007D7FD4"/>
    <w:rsid w:val="007E09BA"/>
    <w:rsid w:val="007E0F09"/>
    <w:rsid w:val="007E2B7B"/>
    <w:rsid w:val="007E41B1"/>
    <w:rsid w:val="007E566C"/>
    <w:rsid w:val="007E5B51"/>
    <w:rsid w:val="007E5E96"/>
    <w:rsid w:val="007E65D8"/>
    <w:rsid w:val="007E7025"/>
    <w:rsid w:val="007F027B"/>
    <w:rsid w:val="007F071B"/>
    <w:rsid w:val="007F0A96"/>
    <w:rsid w:val="007F12A4"/>
    <w:rsid w:val="007F2942"/>
    <w:rsid w:val="007F341E"/>
    <w:rsid w:val="007F5295"/>
    <w:rsid w:val="007F579D"/>
    <w:rsid w:val="007F6107"/>
    <w:rsid w:val="007F6947"/>
    <w:rsid w:val="0080010B"/>
    <w:rsid w:val="00800DF5"/>
    <w:rsid w:val="00802A02"/>
    <w:rsid w:val="00802B71"/>
    <w:rsid w:val="00803D54"/>
    <w:rsid w:val="008053B4"/>
    <w:rsid w:val="0080557F"/>
    <w:rsid w:val="00806996"/>
    <w:rsid w:val="00807D64"/>
    <w:rsid w:val="00807DFC"/>
    <w:rsid w:val="00810ECD"/>
    <w:rsid w:val="00811D8C"/>
    <w:rsid w:val="00812F0A"/>
    <w:rsid w:val="00813429"/>
    <w:rsid w:val="00814459"/>
    <w:rsid w:val="0081651B"/>
    <w:rsid w:val="00816B54"/>
    <w:rsid w:val="0081744E"/>
    <w:rsid w:val="00817F98"/>
    <w:rsid w:val="008208E2"/>
    <w:rsid w:val="00821512"/>
    <w:rsid w:val="008218DB"/>
    <w:rsid w:val="00822883"/>
    <w:rsid w:val="0082346F"/>
    <w:rsid w:val="00823A1D"/>
    <w:rsid w:val="0082442A"/>
    <w:rsid w:val="00824BFA"/>
    <w:rsid w:val="00824C65"/>
    <w:rsid w:val="00824CC7"/>
    <w:rsid w:val="00824FA8"/>
    <w:rsid w:val="008259B2"/>
    <w:rsid w:val="00827270"/>
    <w:rsid w:val="00830680"/>
    <w:rsid w:val="00830CA0"/>
    <w:rsid w:val="00831304"/>
    <w:rsid w:val="008322CF"/>
    <w:rsid w:val="00833FF1"/>
    <w:rsid w:val="00834955"/>
    <w:rsid w:val="00835335"/>
    <w:rsid w:val="00836DC0"/>
    <w:rsid w:val="0083722D"/>
    <w:rsid w:val="00837304"/>
    <w:rsid w:val="00840A45"/>
    <w:rsid w:val="008433D6"/>
    <w:rsid w:val="00843427"/>
    <w:rsid w:val="00844031"/>
    <w:rsid w:val="00844F77"/>
    <w:rsid w:val="0084712A"/>
    <w:rsid w:val="00851B93"/>
    <w:rsid w:val="0085254C"/>
    <w:rsid w:val="00852C94"/>
    <w:rsid w:val="0085367F"/>
    <w:rsid w:val="008537F6"/>
    <w:rsid w:val="00853964"/>
    <w:rsid w:val="00854DB0"/>
    <w:rsid w:val="00854F6A"/>
    <w:rsid w:val="0085572B"/>
    <w:rsid w:val="008569C3"/>
    <w:rsid w:val="00857EC3"/>
    <w:rsid w:val="00860953"/>
    <w:rsid w:val="00860B0D"/>
    <w:rsid w:val="00861678"/>
    <w:rsid w:val="00862095"/>
    <w:rsid w:val="00862A84"/>
    <w:rsid w:val="00862F1E"/>
    <w:rsid w:val="00862FBD"/>
    <w:rsid w:val="00863B3F"/>
    <w:rsid w:val="008646B2"/>
    <w:rsid w:val="00867131"/>
    <w:rsid w:val="008676F0"/>
    <w:rsid w:val="00871639"/>
    <w:rsid w:val="00871A06"/>
    <w:rsid w:val="008733F3"/>
    <w:rsid w:val="008753F6"/>
    <w:rsid w:val="00875831"/>
    <w:rsid w:val="00875B51"/>
    <w:rsid w:val="00875CB6"/>
    <w:rsid w:val="0087723C"/>
    <w:rsid w:val="00877403"/>
    <w:rsid w:val="00877ED3"/>
    <w:rsid w:val="008802B4"/>
    <w:rsid w:val="008814E7"/>
    <w:rsid w:val="00881868"/>
    <w:rsid w:val="00882D4F"/>
    <w:rsid w:val="00883274"/>
    <w:rsid w:val="008840ED"/>
    <w:rsid w:val="00884678"/>
    <w:rsid w:val="008849F7"/>
    <w:rsid w:val="00885465"/>
    <w:rsid w:val="00886EBF"/>
    <w:rsid w:val="00890FFC"/>
    <w:rsid w:val="00891A37"/>
    <w:rsid w:val="00891B31"/>
    <w:rsid w:val="00891BC4"/>
    <w:rsid w:val="00893F9B"/>
    <w:rsid w:val="00894C51"/>
    <w:rsid w:val="008955EB"/>
    <w:rsid w:val="00896CEA"/>
    <w:rsid w:val="00896F1B"/>
    <w:rsid w:val="008A1AC2"/>
    <w:rsid w:val="008A1B77"/>
    <w:rsid w:val="008A1D97"/>
    <w:rsid w:val="008A3E26"/>
    <w:rsid w:val="008A4125"/>
    <w:rsid w:val="008A42D2"/>
    <w:rsid w:val="008A4F04"/>
    <w:rsid w:val="008A66F3"/>
    <w:rsid w:val="008A706A"/>
    <w:rsid w:val="008A7EA2"/>
    <w:rsid w:val="008B0B37"/>
    <w:rsid w:val="008B138A"/>
    <w:rsid w:val="008B1CC8"/>
    <w:rsid w:val="008B26DD"/>
    <w:rsid w:val="008B27FF"/>
    <w:rsid w:val="008B37D2"/>
    <w:rsid w:val="008B560D"/>
    <w:rsid w:val="008B5654"/>
    <w:rsid w:val="008B5974"/>
    <w:rsid w:val="008B6C64"/>
    <w:rsid w:val="008B6F6B"/>
    <w:rsid w:val="008C0BD6"/>
    <w:rsid w:val="008C14F0"/>
    <w:rsid w:val="008C19CF"/>
    <w:rsid w:val="008C26C3"/>
    <w:rsid w:val="008C4304"/>
    <w:rsid w:val="008C58CF"/>
    <w:rsid w:val="008C6392"/>
    <w:rsid w:val="008C69A5"/>
    <w:rsid w:val="008C6CC3"/>
    <w:rsid w:val="008C77E1"/>
    <w:rsid w:val="008D0C9B"/>
    <w:rsid w:val="008D13CA"/>
    <w:rsid w:val="008D24E5"/>
    <w:rsid w:val="008D2F8D"/>
    <w:rsid w:val="008D34AC"/>
    <w:rsid w:val="008D3CE1"/>
    <w:rsid w:val="008D4014"/>
    <w:rsid w:val="008D58EF"/>
    <w:rsid w:val="008D6273"/>
    <w:rsid w:val="008D6846"/>
    <w:rsid w:val="008D6BCF"/>
    <w:rsid w:val="008E085E"/>
    <w:rsid w:val="008E15C7"/>
    <w:rsid w:val="008E1654"/>
    <w:rsid w:val="008E1C2E"/>
    <w:rsid w:val="008E2038"/>
    <w:rsid w:val="008E2FE1"/>
    <w:rsid w:val="008E3A6E"/>
    <w:rsid w:val="008E3DF6"/>
    <w:rsid w:val="008E4119"/>
    <w:rsid w:val="008E4344"/>
    <w:rsid w:val="008E4403"/>
    <w:rsid w:val="008E4CC9"/>
    <w:rsid w:val="008E4DF8"/>
    <w:rsid w:val="008E5A4E"/>
    <w:rsid w:val="008E61D9"/>
    <w:rsid w:val="008E625E"/>
    <w:rsid w:val="008E6522"/>
    <w:rsid w:val="008E6A01"/>
    <w:rsid w:val="008E716B"/>
    <w:rsid w:val="008F04BD"/>
    <w:rsid w:val="008F193F"/>
    <w:rsid w:val="008F2376"/>
    <w:rsid w:val="008F2789"/>
    <w:rsid w:val="008F2881"/>
    <w:rsid w:val="008F2E0B"/>
    <w:rsid w:val="008F2F66"/>
    <w:rsid w:val="008F339F"/>
    <w:rsid w:val="008F3B5F"/>
    <w:rsid w:val="008F52B6"/>
    <w:rsid w:val="008F5ADC"/>
    <w:rsid w:val="008F6831"/>
    <w:rsid w:val="008F6BE3"/>
    <w:rsid w:val="008F6E84"/>
    <w:rsid w:val="008F7567"/>
    <w:rsid w:val="008F7D22"/>
    <w:rsid w:val="008F7D2C"/>
    <w:rsid w:val="00900045"/>
    <w:rsid w:val="00900361"/>
    <w:rsid w:val="00903612"/>
    <w:rsid w:val="009052A1"/>
    <w:rsid w:val="009054C3"/>
    <w:rsid w:val="00905DC0"/>
    <w:rsid w:val="0090630C"/>
    <w:rsid w:val="0090705B"/>
    <w:rsid w:val="00907F7E"/>
    <w:rsid w:val="0091062C"/>
    <w:rsid w:val="00911BE6"/>
    <w:rsid w:val="00912118"/>
    <w:rsid w:val="009128D5"/>
    <w:rsid w:val="00913778"/>
    <w:rsid w:val="00914BE3"/>
    <w:rsid w:val="00915A0B"/>
    <w:rsid w:val="00916441"/>
    <w:rsid w:val="00916769"/>
    <w:rsid w:val="00916897"/>
    <w:rsid w:val="009176C2"/>
    <w:rsid w:val="00917B95"/>
    <w:rsid w:val="00917E23"/>
    <w:rsid w:val="0092264B"/>
    <w:rsid w:val="009231CB"/>
    <w:rsid w:val="00923666"/>
    <w:rsid w:val="00924058"/>
    <w:rsid w:val="00925056"/>
    <w:rsid w:val="00925DBB"/>
    <w:rsid w:val="00925F8C"/>
    <w:rsid w:val="0092608A"/>
    <w:rsid w:val="009264F6"/>
    <w:rsid w:val="0092753A"/>
    <w:rsid w:val="00927C78"/>
    <w:rsid w:val="009301AA"/>
    <w:rsid w:val="009306A4"/>
    <w:rsid w:val="009323ED"/>
    <w:rsid w:val="00932B26"/>
    <w:rsid w:val="00934A69"/>
    <w:rsid w:val="00936463"/>
    <w:rsid w:val="0093689E"/>
    <w:rsid w:val="00937323"/>
    <w:rsid w:val="00937BEB"/>
    <w:rsid w:val="0094103A"/>
    <w:rsid w:val="009417A3"/>
    <w:rsid w:val="00941FD8"/>
    <w:rsid w:val="0094214A"/>
    <w:rsid w:val="00942953"/>
    <w:rsid w:val="0094336B"/>
    <w:rsid w:val="00944CB2"/>
    <w:rsid w:val="00946659"/>
    <w:rsid w:val="00950295"/>
    <w:rsid w:val="00950715"/>
    <w:rsid w:val="00951A59"/>
    <w:rsid w:val="00952E03"/>
    <w:rsid w:val="00953DEB"/>
    <w:rsid w:val="00953E25"/>
    <w:rsid w:val="00954260"/>
    <w:rsid w:val="00954346"/>
    <w:rsid w:val="009555C6"/>
    <w:rsid w:val="009562E8"/>
    <w:rsid w:val="00957158"/>
    <w:rsid w:val="00957469"/>
    <w:rsid w:val="0095748B"/>
    <w:rsid w:val="0095797E"/>
    <w:rsid w:val="00957D2E"/>
    <w:rsid w:val="00960E38"/>
    <w:rsid w:val="009612C7"/>
    <w:rsid w:val="0096458D"/>
    <w:rsid w:val="00964D37"/>
    <w:rsid w:val="00966C00"/>
    <w:rsid w:val="00967612"/>
    <w:rsid w:val="009677B1"/>
    <w:rsid w:val="009703FE"/>
    <w:rsid w:val="00971C11"/>
    <w:rsid w:val="0097240D"/>
    <w:rsid w:val="00973906"/>
    <w:rsid w:val="00974717"/>
    <w:rsid w:val="0097492E"/>
    <w:rsid w:val="00975AAB"/>
    <w:rsid w:val="00975EEF"/>
    <w:rsid w:val="00976B5A"/>
    <w:rsid w:val="009801CD"/>
    <w:rsid w:val="00981C49"/>
    <w:rsid w:val="009831B3"/>
    <w:rsid w:val="009832CC"/>
    <w:rsid w:val="00983805"/>
    <w:rsid w:val="00984415"/>
    <w:rsid w:val="009850B5"/>
    <w:rsid w:val="00986231"/>
    <w:rsid w:val="00986A5A"/>
    <w:rsid w:val="00986E5B"/>
    <w:rsid w:val="00987A7E"/>
    <w:rsid w:val="00990288"/>
    <w:rsid w:val="0099035F"/>
    <w:rsid w:val="009918A0"/>
    <w:rsid w:val="00991C66"/>
    <w:rsid w:val="009933C3"/>
    <w:rsid w:val="009936F7"/>
    <w:rsid w:val="009939DB"/>
    <w:rsid w:val="00993C6A"/>
    <w:rsid w:val="00995ECD"/>
    <w:rsid w:val="0099665D"/>
    <w:rsid w:val="00997C55"/>
    <w:rsid w:val="009A04A3"/>
    <w:rsid w:val="009A0EF0"/>
    <w:rsid w:val="009A1CBC"/>
    <w:rsid w:val="009A1CBD"/>
    <w:rsid w:val="009A416F"/>
    <w:rsid w:val="009A435E"/>
    <w:rsid w:val="009A4891"/>
    <w:rsid w:val="009A52C3"/>
    <w:rsid w:val="009A58A5"/>
    <w:rsid w:val="009A59E7"/>
    <w:rsid w:val="009A7522"/>
    <w:rsid w:val="009A7707"/>
    <w:rsid w:val="009A78B3"/>
    <w:rsid w:val="009B093E"/>
    <w:rsid w:val="009B0996"/>
    <w:rsid w:val="009B0CB7"/>
    <w:rsid w:val="009B124A"/>
    <w:rsid w:val="009B13A2"/>
    <w:rsid w:val="009B21ED"/>
    <w:rsid w:val="009B3988"/>
    <w:rsid w:val="009B3FD2"/>
    <w:rsid w:val="009B44A8"/>
    <w:rsid w:val="009B534D"/>
    <w:rsid w:val="009B6C9E"/>
    <w:rsid w:val="009B7134"/>
    <w:rsid w:val="009C217A"/>
    <w:rsid w:val="009C3105"/>
    <w:rsid w:val="009C3288"/>
    <w:rsid w:val="009C3EB6"/>
    <w:rsid w:val="009C52C8"/>
    <w:rsid w:val="009C55B2"/>
    <w:rsid w:val="009C5B03"/>
    <w:rsid w:val="009C6FEE"/>
    <w:rsid w:val="009C723C"/>
    <w:rsid w:val="009D04FE"/>
    <w:rsid w:val="009D2014"/>
    <w:rsid w:val="009D32FF"/>
    <w:rsid w:val="009D3EED"/>
    <w:rsid w:val="009D5AC1"/>
    <w:rsid w:val="009D5EF6"/>
    <w:rsid w:val="009D6DFA"/>
    <w:rsid w:val="009D6FE8"/>
    <w:rsid w:val="009D7A4B"/>
    <w:rsid w:val="009D7CFD"/>
    <w:rsid w:val="009E029C"/>
    <w:rsid w:val="009E0692"/>
    <w:rsid w:val="009E1139"/>
    <w:rsid w:val="009E3716"/>
    <w:rsid w:val="009E4A01"/>
    <w:rsid w:val="009E4AEB"/>
    <w:rsid w:val="009E5D6B"/>
    <w:rsid w:val="009E5D7B"/>
    <w:rsid w:val="009E62C2"/>
    <w:rsid w:val="009F0499"/>
    <w:rsid w:val="009F06BA"/>
    <w:rsid w:val="009F1E58"/>
    <w:rsid w:val="009F308F"/>
    <w:rsid w:val="009F3193"/>
    <w:rsid w:val="009F35A2"/>
    <w:rsid w:val="009F50A0"/>
    <w:rsid w:val="00A02516"/>
    <w:rsid w:val="00A02854"/>
    <w:rsid w:val="00A04E71"/>
    <w:rsid w:val="00A057F2"/>
    <w:rsid w:val="00A05828"/>
    <w:rsid w:val="00A06889"/>
    <w:rsid w:val="00A06985"/>
    <w:rsid w:val="00A06A84"/>
    <w:rsid w:val="00A06AA4"/>
    <w:rsid w:val="00A10872"/>
    <w:rsid w:val="00A108CF"/>
    <w:rsid w:val="00A10B5A"/>
    <w:rsid w:val="00A11265"/>
    <w:rsid w:val="00A12673"/>
    <w:rsid w:val="00A12EBE"/>
    <w:rsid w:val="00A13281"/>
    <w:rsid w:val="00A174FB"/>
    <w:rsid w:val="00A21C46"/>
    <w:rsid w:val="00A21E78"/>
    <w:rsid w:val="00A22AD7"/>
    <w:rsid w:val="00A233AE"/>
    <w:rsid w:val="00A236CA"/>
    <w:rsid w:val="00A23B61"/>
    <w:rsid w:val="00A254E1"/>
    <w:rsid w:val="00A259AC"/>
    <w:rsid w:val="00A26AF1"/>
    <w:rsid w:val="00A27B76"/>
    <w:rsid w:val="00A31E0F"/>
    <w:rsid w:val="00A31EF8"/>
    <w:rsid w:val="00A33450"/>
    <w:rsid w:val="00A33BF6"/>
    <w:rsid w:val="00A35047"/>
    <w:rsid w:val="00A35087"/>
    <w:rsid w:val="00A3778B"/>
    <w:rsid w:val="00A3787F"/>
    <w:rsid w:val="00A37A4B"/>
    <w:rsid w:val="00A414A9"/>
    <w:rsid w:val="00A428E6"/>
    <w:rsid w:val="00A44300"/>
    <w:rsid w:val="00A443A2"/>
    <w:rsid w:val="00A45B36"/>
    <w:rsid w:val="00A45EFA"/>
    <w:rsid w:val="00A46952"/>
    <w:rsid w:val="00A469D1"/>
    <w:rsid w:val="00A46CB4"/>
    <w:rsid w:val="00A46FBF"/>
    <w:rsid w:val="00A50159"/>
    <w:rsid w:val="00A5110A"/>
    <w:rsid w:val="00A5207A"/>
    <w:rsid w:val="00A5345D"/>
    <w:rsid w:val="00A53469"/>
    <w:rsid w:val="00A5448E"/>
    <w:rsid w:val="00A54597"/>
    <w:rsid w:val="00A5586B"/>
    <w:rsid w:val="00A61FB3"/>
    <w:rsid w:val="00A65A1E"/>
    <w:rsid w:val="00A67070"/>
    <w:rsid w:val="00A71836"/>
    <w:rsid w:val="00A71F8E"/>
    <w:rsid w:val="00A721AE"/>
    <w:rsid w:val="00A73FE8"/>
    <w:rsid w:val="00A74421"/>
    <w:rsid w:val="00A74B25"/>
    <w:rsid w:val="00A7580A"/>
    <w:rsid w:val="00A7742D"/>
    <w:rsid w:val="00A77E7D"/>
    <w:rsid w:val="00A80EAE"/>
    <w:rsid w:val="00A81F43"/>
    <w:rsid w:val="00A82D32"/>
    <w:rsid w:val="00A83429"/>
    <w:rsid w:val="00A850C6"/>
    <w:rsid w:val="00A862E3"/>
    <w:rsid w:val="00A869B9"/>
    <w:rsid w:val="00A90139"/>
    <w:rsid w:val="00A9055F"/>
    <w:rsid w:val="00A90A3A"/>
    <w:rsid w:val="00A91535"/>
    <w:rsid w:val="00A930D0"/>
    <w:rsid w:val="00A93117"/>
    <w:rsid w:val="00A93AB3"/>
    <w:rsid w:val="00A959C7"/>
    <w:rsid w:val="00A97175"/>
    <w:rsid w:val="00A9743E"/>
    <w:rsid w:val="00A97548"/>
    <w:rsid w:val="00AA0193"/>
    <w:rsid w:val="00AA0ACD"/>
    <w:rsid w:val="00AA2651"/>
    <w:rsid w:val="00AA36DC"/>
    <w:rsid w:val="00AA579C"/>
    <w:rsid w:val="00AA680F"/>
    <w:rsid w:val="00AA780E"/>
    <w:rsid w:val="00AB0105"/>
    <w:rsid w:val="00AB1BF1"/>
    <w:rsid w:val="00AB4543"/>
    <w:rsid w:val="00AB45A8"/>
    <w:rsid w:val="00AB5109"/>
    <w:rsid w:val="00AB5916"/>
    <w:rsid w:val="00AB6094"/>
    <w:rsid w:val="00AB6A97"/>
    <w:rsid w:val="00AB6AC9"/>
    <w:rsid w:val="00AB6D30"/>
    <w:rsid w:val="00AB7879"/>
    <w:rsid w:val="00AB7EF6"/>
    <w:rsid w:val="00AC0731"/>
    <w:rsid w:val="00AC0E56"/>
    <w:rsid w:val="00AC2AFA"/>
    <w:rsid w:val="00AC3F08"/>
    <w:rsid w:val="00AC420A"/>
    <w:rsid w:val="00AC51A3"/>
    <w:rsid w:val="00AC6709"/>
    <w:rsid w:val="00AC6A6E"/>
    <w:rsid w:val="00AC6CC6"/>
    <w:rsid w:val="00AC74D2"/>
    <w:rsid w:val="00AC7A6D"/>
    <w:rsid w:val="00AD069E"/>
    <w:rsid w:val="00AD0EE5"/>
    <w:rsid w:val="00AD1D91"/>
    <w:rsid w:val="00AD2B7D"/>
    <w:rsid w:val="00AD448E"/>
    <w:rsid w:val="00AD4D4E"/>
    <w:rsid w:val="00AD4DA5"/>
    <w:rsid w:val="00AD52A7"/>
    <w:rsid w:val="00AD5939"/>
    <w:rsid w:val="00AD5EC3"/>
    <w:rsid w:val="00AD6C86"/>
    <w:rsid w:val="00AD6D86"/>
    <w:rsid w:val="00AD75B0"/>
    <w:rsid w:val="00AE1A6C"/>
    <w:rsid w:val="00AE24C9"/>
    <w:rsid w:val="00AE31E1"/>
    <w:rsid w:val="00AE3D84"/>
    <w:rsid w:val="00AE4BBC"/>
    <w:rsid w:val="00AE6292"/>
    <w:rsid w:val="00AE7E98"/>
    <w:rsid w:val="00AF007E"/>
    <w:rsid w:val="00AF036B"/>
    <w:rsid w:val="00AF0454"/>
    <w:rsid w:val="00AF05A3"/>
    <w:rsid w:val="00AF0CD0"/>
    <w:rsid w:val="00AF1E68"/>
    <w:rsid w:val="00AF1EA5"/>
    <w:rsid w:val="00AF245E"/>
    <w:rsid w:val="00AF52FF"/>
    <w:rsid w:val="00AF53FF"/>
    <w:rsid w:val="00AF7230"/>
    <w:rsid w:val="00AF7527"/>
    <w:rsid w:val="00B00F54"/>
    <w:rsid w:val="00B02CB8"/>
    <w:rsid w:val="00B02EF1"/>
    <w:rsid w:val="00B039D2"/>
    <w:rsid w:val="00B047E6"/>
    <w:rsid w:val="00B04D49"/>
    <w:rsid w:val="00B053BC"/>
    <w:rsid w:val="00B05BE2"/>
    <w:rsid w:val="00B05DC7"/>
    <w:rsid w:val="00B105EA"/>
    <w:rsid w:val="00B10C85"/>
    <w:rsid w:val="00B10D54"/>
    <w:rsid w:val="00B114C4"/>
    <w:rsid w:val="00B1197A"/>
    <w:rsid w:val="00B11D47"/>
    <w:rsid w:val="00B1413D"/>
    <w:rsid w:val="00B14394"/>
    <w:rsid w:val="00B1468F"/>
    <w:rsid w:val="00B14AFD"/>
    <w:rsid w:val="00B157B5"/>
    <w:rsid w:val="00B15D88"/>
    <w:rsid w:val="00B16021"/>
    <w:rsid w:val="00B17EBA"/>
    <w:rsid w:val="00B20CD7"/>
    <w:rsid w:val="00B20D31"/>
    <w:rsid w:val="00B22175"/>
    <w:rsid w:val="00B238B0"/>
    <w:rsid w:val="00B23D1E"/>
    <w:rsid w:val="00B2569C"/>
    <w:rsid w:val="00B25966"/>
    <w:rsid w:val="00B265C2"/>
    <w:rsid w:val="00B266C6"/>
    <w:rsid w:val="00B26E4B"/>
    <w:rsid w:val="00B27D62"/>
    <w:rsid w:val="00B27EED"/>
    <w:rsid w:val="00B30503"/>
    <w:rsid w:val="00B31761"/>
    <w:rsid w:val="00B346B5"/>
    <w:rsid w:val="00B35F6E"/>
    <w:rsid w:val="00B36C53"/>
    <w:rsid w:val="00B371E7"/>
    <w:rsid w:val="00B37673"/>
    <w:rsid w:val="00B37B2D"/>
    <w:rsid w:val="00B42633"/>
    <w:rsid w:val="00B433E1"/>
    <w:rsid w:val="00B44491"/>
    <w:rsid w:val="00B45764"/>
    <w:rsid w:val="00B46310"/>
    <w:rsid w:val="00B46F64"/>
    <w:rsid w:val="00B50A70"/>
    <w:rsid w:val="00B520E0"/>
    <w:rsid w:val="00B524F9"/>
    <w:rsid w:val="00B532BC"/>
    <w:rsid w:val="00B5330E"/>
    <w:rsid w:val="00B5331E"/>
    <w:rsid w:val="00B54B5F"/>
    <w:rsid w:val="00B54E56"/>
    <w:rsid w:val="00B5526E"/>
    <w:rsid w:val="00B56976"/>
    <w:rsid w:val="00B56C02"/>
    <w:rsid w:val="00B56C20"/>
    <w:rsid w:val="00B57063"/>
    <w:rsid w:val="00B6050C"/>
    <w:rsid w:val="00B6111F"/>
    <w:rsid w:val="00B61169"/>
    <w:rsid w:val="00B616C3"/>
    <w:rsid w:val="00B61A53"/>
    <w:rsid w:val="00B62619"/>
    <w:rsid w:val="00B6438C"/>
    <w:rsid w:val="00B644B5"/>
    <w:rsid w:val="00B65A13"/>
    <w:rsid w:val="00B66362"/>
    <w:rsid w:val="00B6639C"/>
    <w:rsid w:val="00B66480"/>
    <w:rsid w:val="00B66579"/>
    <w:rsid w:val="00B6672F"/>
    <w:rsid w:val="00B67C26"/>
    <w:rsid w:val="00B67FFC"/>
    <w:rsid w:val="00B7067F"/>
    <w:rsid w:val="00B706CF"/>
    <w:rsid w:val="00B70F21"/>
    <w:rsid w:val="00B71DD5"/>
    <w:rsid w:val="00B722F1"/>
    <w:rsid w:val="00B7694C"/>
    <w:rsid w:val="00B777E5"/>
    <w:rsid w:val="00B77D18"/>
    <w:rsid w:val="00B8015D"/>
    <w:rsid w:val="00B808F9"/>
    <w:rsid w:val="00B80A55"/>
    <w:rsid w:val="00B82469"/>
    <w:rsid w:val="00B83B31"/>
    <w:rsid w:val="00B8445A"/>
    <w:rsid w:val="00B8541A"/>
    <w:rsid w:val="00B85B84"/>
    <w:rsid w:val="00B864F1"/>
    <w:rsid w:val="00B86BC6"/>
    <w:rsid w:val="00B873A1"/>
    <w:rsid w:val="00B90820"/>
    <w:rsid w:val="00B9099B"/>
    <w:rsid w:val="00B9233C"/>
    <w:rsid w:val="00B92417"/>
    <w:rsid w:val="00B92EA9"/>
    <w:rsid w:val="00B9354E"/>
    <w:rsid w:val="00B938E4"/>
    <w:rsid w:val="00B965AC"/>
    <w:rsid w:val="00B97DF1"/>
    <w:rsid w:val="00BA020E"/>
    <w:rsid w:val="00BA0B45"/>
    <w:rsid w:val="00BA0B5A"/>
    <w:rsid w:val="00BA129E"/>
    <w:rsid w:val="00BA327E"/>
    <w:rsid w:val="00BA39F3"/>
    <w:rsid w:val="00BA6109"/>
    <w:rsid w:val="00BA67A5"/>
    <w:rsid w:val="00BA6EEA"/>
    <w:rsid w:val="00BA74F4"/>
    <w:rsid w:val="00BA7E31"/>
    <w:rsid w:val="00BB0DCE"/>
    <w:rsid w:val="00BB0F75"/>
    <w:rsid w:val="00BB13A1"/>
    <w:rsid w:val="00BB143A"/>
    <w:rsid w:val="00BB14D8"/>
    <w:rsid w:val="00BB18CB"/>
    <w:rsid w:val="00BB1BA4"/>
    <w:rsid w:val="00BB2268"/>
    <w:rsid w:val="00BB2348"/>
    <w:rsid w:val="00BB2642"/>
    <w:rsid w:val="00BB27CB"/>
    <w:rsid w:val="00BB3188"/>
    <w:rsid w:val="00BB444B"/>
    <w:rsid w:val="00BB5149"/>
    <w:rsid w:val="00BB53F0"/>
    <w:rsid w:val="00BB5775"/>
    <w:rsid w:val="00BB640D"/>
    <w:rsid w:val="00BB6971"/>
    <w:rsid w:val="00BB75A5"/>
    <w:rsid w:val="00BC06E3"/>
    <w:rsid w:val="00BC0B21"/>
    <w:rsid w:val="00BC0E6A"/>
    <w:rsid w:val="00BC1CC3"/>
    <w:rsid w:val="00BC2B6A"/>
    <w:rsid w:val="00BC2CA2"/>
    <w:rsid w:val="00BC3308"/>
    <w:rsid w:val="00BC3DAF"/>
    <w:rsid w:val="00BC4C9A"/>
    <w:rsid w:val="00BC5557"/>
    <w:rsid w:val="00BC5597"/>
    <w:rsid w:val="00BC596D"/>
    <w:rsid w:val="00BC5A69"/>
    <w:rsid w:val="00BC796F"/>
    <w:rsid w:val="00BC7DF0"/>
    <w:rsid w:val="00BD0B4A"/>
    <w:rsid w:val="00BD14BE"/>
    <w:rsid w:val="00BD1DC5"/>
    <w:rsid w:val="00BD2898"/>
    <w:rsid w:val="00BD2FA9"/>
    <w:rsid w:val="00BD3001"/>
    <w:rsid w:val="00BD3AE9"/>
    <w:rsid w:val="00BD50FD"/>
    <w:rsid w:val="00BD549B"/>
    <w:rsid w:val="00BD5890"/>
    <w:rsid w:val="00BE11A3"/>
    <w:rsid w:val="00BE1CEE"/>
    <w:rsid w:val="00BE2CDB"/>
    <w:rsid w:val="00BE479E"/>
    <w:rsid w:val="00BE510D"/>
    <w:rsid w:val="00BE5434"/>
    <w:rsid w:val="00BE57D0"/>
    <w:rsid w:val="00BE6638"/>
    <w:rsid w:val="00BE692B"/>
    <w:rsid w:val="00BE6B80"/>
    <w:rsid w:val="00BE71EA"/>
    <w:rsid w:val="00BE7A74"/>
    <w:rsid w:val="00BF176B"/>
    <w:rsid w:val="00BF1E34"/>
    <w:rsid w:val="00BF2316"/>
    <w:rsid w:val="00BF260B"/>
    <w:rsid w:val="00BF320B"/>
    <w:rsid w:val="00BF4611"/>
    <w:rsid w:val="00BF47D0"/>
    <w:rsid w:val="00BF6079"/>
    <w:rsid w:val="00C0001A"/>
    <w:rsid w:val="00C0139F"/>
    <w:rsid w:val="00C017F6"/>
    <w:rsid w:val="00C03299"/>
    <w:rsid w:val="00C0446D"/>
    <w:rsid w:val="00C04A24"/>
    <w:rsid w:val="00C06F63"/>
    <w:rsid w:val="00C1074D"/>
    <w:rsid w:val="00C11331"/>
    <w:rsid w:val="00C11BE1"/>
    <w:rsid w:val="00C122DA"/>
    <w:rsid w:val="00C125AF"/>
    <w:rsid w:val="00C13F01"/>
    <w:rsid w:val="00C14994"/>
    <w:rsid w:val="00C1560C"/>
    <w:rsid w:val="00C15EFA"/>
    <w:rsid w:val="00C1672A"/>
    <w:rsid w:val="00C167FC"/>
    <w:rsid w:val="00C16CB3"/>
    <w:rsid w:val="00C17011"/>
    <w:rsid w:val="00C176D0"/>
    <w:rsid w:val="00C21C1C"/>
    <w:rsid w:val="00C22333"/>
    <w:rsid w:val="00C23942"/>
    <w:rsid w:val="00C242B6"/>
    <w:rsid w:val="00C24580"/>
    <w:rsid w:val="00C24602"/>
    <w:rsid w:val="00C2508D"/>
    <w:rsid w:val="00C258E2"/>
    <w:rsid w:val="00C25CAD"/>
    <w:rsid w:val="00C260E1"/>
    <w:rsid w:val="00C26D87"/>
    <w:rsid w:val="00C270A9"/>
    <w:rsid w:val="00C270D1"/>
    <w:rsid w:val="00C30BF7"/>
    <w:rsid w:val="00C30D25"/>
    <w:rsid w:val="00C311CE"/>
    <w:rsid w:val="00C322BC"/>
    <w:rsid w:val="00C3239F"/>
    <w:rsid w:val="00C325D1"/>
    <w:rsid w:val="00C32B94"/>
    <w:rsid w:val="00C33EA5"/>
    <w:rsid w:val="00C3547A"/>
    <w:rsid w:val="00C36947"/>
    <w:rsid w:val="00C402EB"/>
    <w:rsid w:val="00C4099D"/>
    <w:rsid w:val="00C4116A"/>
    <w:rsid w:val="00C417A4"/>
    <w:rsid w:val="00C41EC0"/>
    <w:rsid w:val="00C41F83"/>
    <w:rsid w:val="00C43B15"/>
    <w:rsid w:val="00C44994"/>
    <w:rsid w:val="00C45CA9"/>
    <w:rsid w:val="00C468A3"/>
    <w:rsid w:val="00C473FE"/>
    <w:rsid w:val="00C51467"/>
    <w:rsid w:val="00C542C1"/>
    <w:rsid w:val="00C54E1A"/>
    <w:rsid w:val="00C5532C"/>
    <w:rsid w:val="00C56D89"/>
    <w:rsid w:val="00C573BA"/>
    <w:rsid w:val="00C57506"/>
    <w:rsid w:val="00C577E2"/>
    <w:rsid w:val="00C57ABD"/>
    <w:rsid w:val="00C57B07"/>
    <w:rsid w:val="00C610FF"/>
    <w:rsid w:val="00C61DAF"/>
    <w:rsid w:val="00C628D8"/>
    <w:rsid w:val="00C63EF5"/>
    <w:rsid w:val="00C64472"/>
    <w:rsid w:val="00C64A72"/>
    <w:rsid w:val="00C66485"/>
    <w:rsid w:val="00C70467"/>
    <w:rsid w:val="00C70560"/>
    <w:rsid w:val="00C70829"/>
    <w:rsid w:val="00C716C8"/>
    <w:rsid w:val="00C716E4"/>
    <w:rsid w:val="00C72BEF"/>
    <w:rsid w:val="00C750FD"/>
    <w:rsid w:val="00C75BA4"/>
    <w:rsid w:val="00C768D3"/>
    <w:rsid w:val="00C8087E"/>
    <w:rsid w:val="00C80ABF"/>
    <w:rsid w:val="00C80AFD"/>
    <w:rsid w:val="00C80B1A"/>
    <w:rsid w:val="00C81395"/>
    <w:rsid w:val="00C82400"/>
    <w:rsid w:val="00C8272A"/>
    <w:rsid w:val="00C83321"/>
    <w:rsid w:val="00C837AE"/>
    <w:rsid w:val="00C83CCF"/>
    <w:rsid w:val="00C8484A"/>
    <w:rsid w:val="00C85084"/>
    <w:rsid w:val="00C86C22"/>
    <w:rsid w:val="00C875D7"/>
    <w:rsid w:val="00C909B7"/>
    <w:rsid w:val="00C914DF"/>
    <w:rsid w:val="00C9193F"/>
    <w:rsid w:val="00C9199C"/>
    <w:rsid w:val="00C934DF"/>
    <w:rsid w:val="00C938AB"/>
    <w:rsid w:val="00C93E7F"/>
    <w:rsid w:val="00C941AD"/>
    <w:rsid w:val="00C94755"/>
    <w:rsid w:val="00C95598"/>
    <w:rsid w:val="00C95AF8"/>
    <w:rsid w:val="00C96274"/>
    <w:rsid w:val="00C96CD4"/>
    <w:rsid w:val="00C96E41"/>
    <w:rsid w:val="00C9757B"/>
    <w:rsid w:val="00CA09F9"/>
    <w:rsid w:val="00CA0E25"/>
    <w:rsid w:val="00CA1FE1"/>
    <w:rsid w:val="00CA2F9E"/>
    <w:rsid w:val="00CA3B21"/>
    <w:rsid w:val="00CA4BBA"/>
    <w:rsid w:val="00CA52DA"/>
    <w:rsid w:val="00CA5326"/>
    <w:rsid w:val="00CA5508"/>
    <w:rsid w:val="00CA6362"/>
    <w:rsid w:val="00CA6B8B"/>
    <w:rsid w:val="00CA7465"/>
    <w:rsid w:val="00CB00C8"/>
    <w:rsid w:val="00CB0509"/>
    <w:rsid w:val="00CB0D8B"/>
    <w:rsid w:val="00CB163A"/>
    <w:rsid w:val="00CB177E"/>
    <w:rsid w:val="00CB1D1E"/>
    <w:rsid w:val="00CB2047"/>
    <w:rsid w:val="00CB209C"/>
    <w:rsid w:val="00CB25D9"/>
    <w:rsid w:val="00CB2740"/>
    <w:rsid w:val="00CB2FCA"/>
    <w:rsid w:val="00CB4773"/>
    <w:rsid w:val="00CB4792"/>
    <w:rsid w:val="00CB6162"/>
    <w:rsid w:val="00CB625E"/>
    <w:rsid w:val="00CB704F"/>
    <w:rsid w:val="00CB7D31"/>
    <w:rsid w:val="00CC0083"/>
    <w:rsid w:val="00CC0145"/>
    <w:rsid w:val="00CC2F83"/>
    <w:rsid w:val="00CC5A71"/>
    <w:rsid w:val="00CC66AF"/>
    <w:rsid w:val="00CD0949"/>
    <w:rsid w:val="00CD0EC9"/>
    <w:rsid w:val="00CD2467"/>
    <w:rsid w:val="00CD2567"/>
    <w:rsid w:val="00CD44A4"/>
    <w:rsid w:val="00CD5563"/>
    <w:rsid w:val="00CE04D5"/>
    <w:rsid w:val="00CE0C57"/>
    <w:rsid w:val="00CE14A7"/>
    <w:rsid w:val="00CE280C"/>
    <w:rsid w:val="00CE35D1"/>
    <w:rsid w:val="00CE3EDA"/>
    <w:rsid w:val="00CE4844"/>
    <w:rsid w:val="00CE48F7"/>
    <w:rsid w:val="00CF03B2"/>
    <w:rsid w:val="00CF05C7"/>
    <w:rsid w:val="00CF12E2"/>
    <w:rsid w:val="00CF277A"/>
    <w:rsid w:val="00CF3C4A"/>
    <w:rsid w:val="00CF4AC8"/>
    <w:rsid w:val="00CF6B77"/>
    <w:rsid w:val="00D0022F"/>
    <w:rsid w:val="00D00E26"/>
    <w:rsid w:val="00D0153E"/>
    <w:rsid w:val="00D019B8"/>
    <w:rsid w:val="00D02162"/>
    <w:rsid w:val="00D0296A"/>
    <w:rsid w:val="00D02AEF"/>
    <w:rsid w:val="00D0559C"/>
    <w:rsid w:val="00D1058B"/>
    <w:rsid w:val="00D10D7D"/>
    <w:rsid w:val="00D10F8C"/>
    <w:rsid w:val="00D115A0"/>
    <w:rsid w:val="00D11AB6"/>
    <w:rsid w:val="00D1274F"/>
    <w:rsid w:val="00D12B46"/>
    <w:rsid w:val="00D13353"/>
    <w:rsid w:val="00D145A1"/>
    <w:rsid w:val="00D14AED"/>
    <w:rsid w:val="00D178DB"/>
    <w:rsid w:val="00D17D94"/>
    <w:rsid w:val="00D21E18"/>
    <w:rsid w:val="00D22AA2"/>
    <w:rsid w:val="00D2331A"/>
    <w:rsid w:val="00D23596"/>
    <w:rsid w:val="00D23717"/>
    <w:rsid w:val="00D23CEF"/>
    <w:rsid w:val="00D2443A"/>
    <w:rsid w:val="00D26488"/>
    <w:rsid w:val="00D26A74"/>
    <w:rsid w:val="00D27579"/>
    <w:rsid w:val="00D27B0D"/>
    <w:rsid w:val="00D30932"/>
    <w:rsid w:val="00D3388C"/>
    <w:rsid w:val="00D33CD7"/>
    <w:rsid w:val="00D33CDD"/>
    <w:rsid w:val="00D33F50"/>
    <w:rsid w:val="00D34769"/>
    <w:rsid w:val="00D34CFF"/>
    <w:rsid w:val="00D34D22"/>
    <w:rsid w:val="00D34F58"/>
    <w:rsid w:val="00D355FC"/>
    <w:rsid w:val="00D35845"/>
    <w:rsid w:val="00D36A79"/>
    <w:rsid w:val="00D405F1"/>
    <w:rsid w:val="00D4130B"/>
    <w:rsid w:val="00D41AEA"/>
    <w:rsid w:val="00D43B4F"/>
    <w:rsid w:val="00D4465F"/>
    <w:rsid w:val="00D447BE"/>
    <w:rsid w:val="00D45931"/>
    <w:rsid w:val="00D46405"/>
    <w:rsid w:val="00D46EB4"/>
    <w:rsid w:val="00D47A7B"/>
    <w:rsid w:val="00D504C7"/>
    <w:rsid w:val="00D51F7D"/>
    <w:rsid w:val="00D53D99"/>
    <w:rsid w:val="00D53EBA"/>
    <w:rsid w:val="00D5410E"/>
    <w:rsid w:val="00D545A4"/>
    <w:rsid w:val="00D55431"/>
    <w:rsid w:val="00D56D79"/>
    <w:rsid w:val="00D575AE"/>
    <w:rsid w:val="00D6018F"/>
    <w:rsid w:val="00D60F43"/>
    <w:rsid w:val="00D634FC"/>
    <w:rsid w:val="00D63F62"/>
    <w:rsid w:val="00D63FEA"/>
    <w:rsid w:val="00D646E3"/>
    <w:rsid w:val="00D64FDE"/>
    <w:rsid w:val="00D65BC3"/>
    <w:rsid w:val="00D66684"/>
    <w:rsid w:val="00D6705B"/>
    <w:rsid w:val="00D6712C"/>
    <w:rsid w:val="00D675B4"/>
    <w:rsid w:val="00D67EEC"/>
    <w:rsid w:val="00D70A76"/>
    <w:rsid w:val="00D71B91"/>
    <w:rsid w:val="00D7214D"/>
    <w:rsid w:val="00D72E2F"/>
    <w:rsid w:val="00D7315D"/>
    <w:rsid w:val="00D7330C"/>
    <w:rsid w:val="00D753C2"/>
    <w:rsid w:val="00D75FD8"/>
    <w:rsid w:val="00D76174"/>
    <w:rsid w:val="00D76582"/>
    <w:rsid w:val="00D76AEF"/>
    <w:rsid w:val="00D76CFF"/>
    <w:rsid w:val="00D76DDA"/>
    <w:rsid w:val="00D801E8"/>
    <w:rsid w:val="00D8044C"/>
    <w:rsid w:val="00D8123D"/>
    <w:rsid w:val="00D8201E"/>
    <w:rsid w:val="00D82136"/>
    <w:rsid w:val="00D82F9B"/>
    <w:rsid w:val="00D836F3"/>
    <w:rsid w:val="00D8397E"/>
    <w:rsid w:val="00D851A1"/>
    <w:rsid w:val="00D856D7"/>
    <w:rsid w:val="00D85D36"/>
    <w:rsid w:val="00D8671F"/>
    <w:rsid w:val="00D87381"/>
    <w:rsid w:val="00D873D3"/>
    <w:rsid w:val="00D87F92"/>
    <w:rsid w:val="00D90C7E"/>
    <w:rsid w:val="00D91313"/>
    <w:rsid w:val="00D919F9"/>
    <w:rsid w:val="00D9202E"/>
    <w:rsid w:val="00D92092"/>
    <w:rsid w:val="00D920A6"/>
    <w:rsid w:val="00D929A5"/>
    <w:rsid w:val="00D93792"/>
    <w:rsid w:val="00D94445"/>
    <w:rsid w:val="00D95008"/>
    <w:rsid w:val="00DA04AF"/>
    <w:rsid w:val="00DA099B"/>
    <w:rsid w:val="00DA1585"/>
    <w:rsid w:val="00DA15C0"/>
    <w:rsid w:val="00DA212E"/>
    <w:rsid w:val="00DA22D2"/>
    <w:rsid w:val="00DA438D"/>
    <w:rsid w:val="00DA4696"/>
    <w:rsid w:val="00DA4832"/>
    <w:rsid w:val="00DA6329"/>
    <w:rsid w:val="00DA64EA"/>
    <w:rsid w:val="00DB228A"/>
    <w:rsid w:val="00DB2388"/>
    <w:rsid w:val="00DB4B8A"/>
    <w:rsid w:val="00DB5DCE"/>
    <w:rsid w:val="00DB780B"/>
    <w:rsid w:val="00DC0148"/>
    <w:rsid w:val="00DC0C01"/>
    <w:rsid w:val="00DC13D0"/>
    <w:rsid w:val="00DC141C"/>
    <w:rsid w:val="00DC152C"/>
    <w:rsid w:val="00DC2A26"/>
    <w:rsid w:val="00DC2E36"/>
    <w:rsid w:val="00DC3540"/>
    <w:rsid w:val="00DC3C56"/>
    <w:rsid w:val="00DC5150"/>
    <w:rsid w:val="00DC757B"/>
    <w:rsid w:val="00DC7653"/>
    <w:rsid w:val="00DC7FE8"/>
    <w:rsid w:val="00DD1153"/>
    <w:rsid w:val="00DD1877"/>
    <w:rsid w:val="00DD1B60"/>
    <w:rsid w:val="00DD24C9"/>
    <w:rsid w:val="00DD2515"/>
    <w:rsid w:val="00DD272D"/>
    <w:rsid w:val="00DD2B8B"/>
    <w:rsid w:val="00DD50B8"/>
    <w:rsid w:val="00DD5E76"/>
    <w:rsid w:val="00DD77E8"/>
    <w:rsid w:val="00DE0C12"/>
    <w:rsid w:val="00DE1899"/>
    <w:rsid w:val="00DE2060"/>
    <w:rsid w:val="00DE54FA"/>
    <w:rsid w:val="00DE60D1"/>
    <w:rsid w:val="00DF543F"/>
    <w:rsid w:val="00DF63FF"/>
    <w:rsid w:val="00DF6B08"/>
    <w:rsid w:val="00DF7C0F"/>
    <w:rsid w:val="00E00BC7"/>
    <w:rsid w:val="00E00E32"/>
    <w:rsid w:val="00E00F27"/>
    <w:rsid w:val="00E016D6"/>
    <w:rsid w:val="00E05F6C"/>
    <w:rsid w:val="00E06ACD"/>
    <w:rsid w:val="00E072C3"/>
    <w:rsid w:val="00E0788A"/>
    <w:rsid w:val="00E10BCA"/>
    <w:rsid w:val="00E12970"/>
    <w:rsid w:val="00E1316F"/>
    <w:rsid w:val="00E1431B"/>
    <w:rsid w:val="00E15FBD"/>
    <w:rsid w:val="00E15FF8"/>
    <w:rsid w:val="00E1667F"/>
    <w:rsid w:val="00E17E2C"/>
    <w:rsid w:val="00E20C47"/>
    <w:rsid w:val="00E20EC9"/>
    <w:rsid w:val="00E21A3A"/>
    <w:rsid w:val="00E21B36"/>
    <w:rsid w:val="00E244B4"/>
    <w:rsid w:val="00E254D1"/>
    <w:rsid w:val="00E26801"/>
    <w:rsid w:val="00E26E05"/>
    <w:rsid w:val="00E271D7"/>
    <w:rsid w:val="00E27A5C"/>
    <w:rsid w:val="00E30589"/>
    <w:rsid w:val="00E31231"/>
    <w:rsid w:val="00E3261B"/>
    <w:rsid w:val="00E32621"/>
    <w:rsid w:val="00E32704"/>
    <w:rsid w:val="00E327D9"/>
    <w:rsid w:val="00E32AA5"/>
    <w:rsid w:val="00E33E0C"/>
    <w:rsid w:val="00E345E3"/>
    <w:rsid w:val="00E35098"/>
    <w:rsid w:val="00E35E90"/>
    <w:rsid w:val="00E365DF"/>
    <w:rsid w:val="00E36640"/>
    <w:rsid w:val="00E367B4"/>
    <w:rsid w:val="00E37304"/>
    <w:rsid w:val="00E37F78"/>
    <w:rsid w:val="00E40D3E"/>
    <w:rsid w:val="00E4240D"/>
    <w:rsid w:val="00E42D57"/>
    <w:rsid w:val="00E4326E"/>
    <w:rsid w:val="00E44B95"/>
    <w:rsid w:val="00E44F5D"/>
    <w:rsid w:val="00E455A0"/>
    <w:rsid w:val="00E46523"/>
    <w:rsid w:val="00E508E0"/>
    <w:rsid w:val="00E52966"/>
    <w:rsid w:val="00E52D96"/>
    <w:rsid w:val="00E52FF5"/>
    <w:rsid w:val="00E53852"/>
    <w:rsid w:val="00E53854"/>
    <w:rsid w:val="00E53A2F"/>
    <w:rsid w:val="00E53EBF"/>
    <w:rsid w:val="00E55517"/>
    <w:rsid w:val="00E55FCF"/>
    <w:rsid w:val="00E5706C"/>
    <w:rsid w:val="00E60B0B"/>
    <w:rsid w:val="00E622FD"/>
    <w:rsid w:val="00E62661"/>
    <w:rsid w:val="00E62C87"/>
    <w:rsid w:val="00E630E0"/>
    <w:rsid w:val="00E648E4"/>
    <w:rsid w:val="00E671D5"/>
    <w:rsid w:val="00E67EB3"/>
    <w:rsid w:val="00E67F32"/>
    <w:rsid w:val="00E705F3"/>
    <w:rsid w:val="00E70764"/>
    <w:rsid w:val="00E7083D"/>
    <w:rsid w:val="00E71096"/>
    <w:rsid w:val="00E72BFE"/>
    <w:rsid w:val="00E72CF3"/>
    <w:rsid w:val="00E73026"/>
    <w:rsid w:val="00E7334E"/>
    <w:rsid w:val="00E74B88"/>
    <w:rsid w:val="00E759F8"/>
    <w:rsid w:val="00E77028"/>
    <w:rsid w:val="00E8092D"/>
    <w:rsid w:val="00E82546"/>
    <w:rsid w:val="00E8500F"/>
    <w:rsid w:val="00E851D3"/>
    <w:rsid w:val="00E858F6"/>
    <w:rsid w:val="00E87141"/>
    <w:rsid w:val="00E87389"/>
    <w:rsid w:val="00E8738A"/>
    <w:rsid w:val="00E90938"/>
    <w:rsid w:val="00E90CFF"/>
    <w:rsid w:val="00E90D01"/>
    <w:rsid w:val="00E91863"/>
    <w:rsid w:val="00E91A06"/>
    <w:rsid w:val="00E91D7D"/>
    <w:rsid w:val="00E92978"/>
    <w:rsid w:val="00E93E56"/>
    <w:rsid w:val="00E94411"/>
    <w:rsid w:val="00E953EA"/>
    <w:rsid w:val="00E95915"/>
    <w:rsid w:val="00E959F6"/>
    <w:rsid w:val="00E975EA"/>
    <w:rsid w:val="00EA0F9E"/>
    <w:rsid w:val="00EA1645"/>
    <w:rsid w:val="00EA1E67"/>
    <w:rsid w:val="00EA2555"/>
    <w:rsid w:val="00EA2F5A"/>
    <w:rsid w:val="00EA4FC6"/>
    <w:rsid w:val="00EA5AF9"/>
    <w:rsid w:val="00EA7C6C"/>
    <w:rsid w:val="00EB043D"/>
    <w:rsid w:val="00EB0F48"/>
    <w:rsid w:val="00EB1039"/>
    <w:rsid w:val="00EB1266"/>
    <w:rsid w:val="00EB162B"/>
    <w:rsid w:val="00EB2607"/>
    <w:rsid w:val="00EB3012"/>
    <w:rsid w:val="00EB406C"/>
    <w:rsid w:val="00EB5709"/>
    <w:rsid w:val="00EB746D"/>
    <w:rsid w:val="00EB7DB6"/>
    <w:rsid w:val="00EC09DE"/>
    <w:rsid w:val="00EC15E6"/>
    <w:rsid w:val="00EC1E84"/>
    <w:rsid w:val="00EC22C7"/>
    <w:rsid w:val="00EC2C6D"/>
    <w:rsid w:val="00EC3D0D"/>
    <w:rsid w:val="00EC5B30"/>
    <w:rsid w:val="00EC655E"/>
    <w:rsid w:val="00EC71BE"/>
    <w:rsid w:val="00ED10B4"/>
    <w:rsid w:val="00ED2C38"/>
    <w:rsid w:val="00ED381C"/>
    <w:rsid w:val="00ED4D11"/>
    <w:rsid w:val="00ED4FD6"/>
    <w:rsid w:val="00ED59EE"/>
    <w:rsid w:val="00ED6107"/>
    <w:rsid w:val="00ED6741"/>
    <w:rsid w:val="00ED6A17"/>
    <w:rsid w:val="00ED787C"/>
    <w:rsid w:val="00EE0A80"/>
    <w:rsid w:val="00EE27FF"/>
    <w:rsid w:val="00EE564F"/>
    <w:rsid w:val="00EE77F7"/>
    <w:rsid w:val="00EE7B66"/>
    <w:rsid w:val="00EF028A"/>
    <w:rsid w:val="00EF0A59"/>
    <w:rsid w:val="00EF1016"/>
    <w:rsid w:val="00EF1E4A"/>
    <w:rsid w:val="00EF28BC"/>
    <w:rsid w:val="00EF28F3"/>
    <w:rsid w:val="00EF3502"/>
    <w:rsid w:val="00EF41C8"/>
    <w:rsid w:val="00EF4F35"/>
    <w:rsid w:val="00EF51BB"/>
    <w:rsid w:val="00EF5215"/>
    <w:rsid w:val="00EF5F63"/>
    <w:rsid w:val="00EF6205"/>
    <w:rsid w:val="00EF7540"/>
    <w:rsid w:val="00F00C2C"/>
    <w:rsid w:val="00F02979"/>
    <w:rsid w:val="00F03136"/>
    <w:rsid w:val="00F03371"/>
    <w:rsid w:val="00F04750"/>
    <w:rsid w:val="00F054C5"/>
    <w:rsid w:val="00F05BD3"/>
    <w:rsid w:val="00F0689C"/>
    <w:rsid w:val="00F073AF"/>
    <w:rsid w:val="00F07513"/>
    <w:rsid w:val="00F079A4"/>
    <w:rsid w:val="00F10815"/>
    <w:rsid w:val="00F110FC"/>
    <w:rsid w:val="00F13CB6"/>
    <w:rsid w:val="00F141BF"/>
    <w:rsid w:val="00F14216"/>
    <w:rsid w:val="00F1517C"/>
    <w:rsid w:val="00F15494"/>
    <w:rsid w:val="00F15939"/>
    <w:rsid w:val="00F164C3"/>
    <w:rsid w:val="00F16DB4"/>
    <w:rsid w:val="00F16F27"/>
    <w:rsid w:val="00F21AA2"/>
    <w:rsid w:val="00F22F05"/>
    <w:rsid w:val="00F23522"/>
    <w:rsid w:val="00F23E52"/>
    <w:rsid w:val="00F24BF2"/>
    <w:rsid w:val="00F24C89"/>
    <w:rsid w:val="00F276C6"/>
    <w:rsid w:val="00F3048F"/>
    <w:rsid w:val="00F30B63"/>
    <w:rsid w:val="00F31FDE"/>
    <w:rsid w:val="00F32E7A"/>
    <w:rsid w:val="00F34784"/>
    <w:rsid w:val="00F34EA0"/>
    <w:rsid w:val="00F367D4"/>
    <w:rsid w:val="00F3760F"/>
    <w:rsid w:val="00F3785A"/>
    <w:rsid w:val="00F3787E"/>
    <w:rsid w:val="00F37BBB"/>
    <w:rsid w:val="00F37E45"/>
    <w:rsid w:val="00F405EC"/>
    <w:rsid w:val="00F429F8"/>
    <w:rsid w:val="00F436A3"/>
    <w:rsid w:val="00F4432F"/>
    <w:rsid w:val="00F446E6"/>
    <w:rsid w:val="00F45948"/>
    <w:rsid w:val="00F46262"/>
    <w:rsid w:val="00F4714B"/>
    <w:rsid w:val="00F47992"/>
    <w:rsid w:val="00F47C2D"/>
    <w:rsid w:val="00F5175D"/>
    <w:rsid w:val="00F52527"/>
    <w:rsid w:val="00F52549"/>
    <w:rsid w:val="00F55D2D"/>
    <w:rsid w:val="00F55F5E"/>
    <w:rsid w:val="00F57499"/>
    <w:rsid w:val="00F579D3"/>
    <w:rsid w:val="00F6085A"/>
    <w:rsid w:val="00F61A26"/>
    <w:rsid w:val="00F63458"/>
    <w:rsid w:val="00F63925"/>
    <w:rsid w:val="00F6416D"/>
    <w:rsid w:val="00F6442E"/>
    <w:rsid w:val="00F6481A"/>
    <w:rsid w:val="00F65379"/>
    <w:rsid w:val="00F6573F"/>
    <w:rsid w:val="00F66D1B"/>
    <w:rsid w:val="00F67038"/>
    <w:rsid w:val="00F70C9E"/>
    <w:rsid w:val="00F7139E"/>
    <w:rsid w:val="00F72705"/>
    <w:rsid w:val="00F72C77"/>
    <w:rsid w:val="00F741CE"/>
    <w:rsid w:val="00F749FB"/>
    <w:rsid w:val="00F7529C"/>
    <w:rsid w:val="00F76CD5"/>
    <w:rsid w:val="00F77286"/>
    <w:rsid w:val="00F776F7"/>
    <w:rsid w:val="00F77958"/>
    <w:rsid w:val="00F81099"/>
    <w:rsid w:val="00F82759"/>
    <w:rsid w:val="00F8386C"/>
    <w:rsid w:val="00F83886"/>
    <w:rsid w:val="00F83A73"/>
    <w:rsid w:val="00F83A7E"/>
    <w:rsid w:val="00F83E9E"/>
    <w:rsid w:val="00F842D1"/>
    <w:rsid w:val="00F84A34"/>
    <w:rsid w:val="00F84B93"/>
    <w:rsid w:val="00F84D3B"/>
    <w:rsid w:val="00F85808"/>
    <w:rsid w:val="00F85A9D"/>
    <w:rsid w:val="00F86407"/>
    <w:rsid w:val="00F87A2C"/>
    <w:rsid w:val="00F91CA4"/>
    <w:rsid w:val="00F93CFC"/>
    <w:rsid w:val="00F94248"/>
    <w:rsid w:val="00F94616"/>
    <w:rsid w:val="00F94C8F"/>
    <w:rsid w:val="00F95F98"/>
    <w:rsid w:val="00F9645C"/>
    <w:rsid w:val="00F9647B"/>
    <w:rsid w:val="00F96616"/>
    <w:rsid w:val="00F96AEC"/>
    <w:rsid w:val="00F96EF9"/>
    <w:rsid w:val="00FA0351"/>
    <w:rsid w:val="00FA1154"/>
    <w:rsid w:val="00FA13AB"/>
    <w:rsid w:val="00FA1A7B"/>
    <w:rsid w:val="00FA550B"/>
    <w:rsid w:val="00FA5A57"/>
    <w:rsid w:val="00FA6698"/>
    <w:rsid w:val="00FA6CE2"/>
    <w:rsid w:val="00FB09D9"/>
    <w:rsid w:val="00FB0B93"/>
    <w:rsid w:val="00FB2F6E"/>
    <w:rsid w:val="00FB2F9D"/>
    <w:rsid w:val="00FB503D"/>
    <w:rsid w:val="00FB62FA"/>
    <w:rsid w:val="00FB7004"/>
    <w:rsid w:val="00FB7C72"/>
    <w:rsid w:val="00FC1E10"/>
    <w:rsid w:val="00FC2283"/>
    <w:rsid w:val="00FC2B51"/>
    <w:rsid w:val="00FC2E35"/>
    <w:rsid w:val="00FC345C"/>
    <w:rsid w:val="00FC3733"/>
    <w:rsid w:val="00FC3BC8"/>
    <w:rsid w:val="00FC3BEC"/>
    <w:rsid w:val="00FC42CB"/>
    <w:rsid w:val="00FC510C"/>
    <w:rsid w:val="00FC65C2"/>
    <w:rsid w:val="00FC67E9"/>
    <w:rsid w:val="00FC7629"/>
    <w:rsid w:val="00FC76FF"/>
    <w:rsid w:val="00FD0663"/>
    <w:rsid w:val="00FD1194"/>
    <w:rsid w:val="00FD16D0"/>
    <w:rsid w:val="00FD2267"/>
    <w:rsid w:val="00FD2D59"/>
    <w:rsid w:val="00FD4335"/>
    <w:rsid w:val="00FD4EAA"/>
    <w:rsid w:val="00FD632F"/>
    <w:rsid w:val="00FD64DE"/>
    <w:rsid w:val="00FD6EE1"/>
    <w:rsid w:val="00FD7015"/>
    <w:rsid w:val="00FE3AC0"/>
    <w:rsid w:val="00FE3B80"/>
    <w:rsid w:val="00FE3F99"/>
    <w:rsid w:val="00FE5000"/>
    <w:rsid w:val="00FE76C6"/>
    <w:rsid w:val="00FE7BCE"/>
    <w:rsid w:val="00FF1A88"/>
    <w:rsid w:val="00FF2456"/>
    <w:rsid w:val="00FF2637"/>
    <w:rsid w:val="00FF2E23"/>
    <w:rsid w:val="00FF45A8"/>
    <w:rsid w:val="00FF49B7"/>
    <w:rsid w:val="00FF4D89"/>
    <w:rsid w:val="00FF58A3"/>
    <w:rsid w:val="00FF5A01"/>
    <w:rsid w:val="00FF604E"/>
    <w:rsid w:val="00FF65A0"/>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0ACD"/>
    <w:rPr>
      <w:sz w:val="20"/>
      <w:szCs w:val="20"/>
      <w:lang w:val="en-GB"/>
    </w:rPr>
  </w:style>
  <w:style w:type="paragraph" w:styleId="Heading1">
    <w:name w:val="heading 1"/>
    <w:basedOn w:val="Normal"/>
    <w:next w:val="Normal"/>
    <w:link w:val="Heading1Char"/>
    <w:uiPriority w:val="99"/>
    <w:qFormat/>
    <w:rsid w:val="004845EF"/>
    <w:pPr>
      <w:keepNext/>
      <w:numPr>
        <w:numId w:val="2"/>
      </w:numPr>
      <w:tabs>
        <w:tab w:val="left" w:pos="1080"/>
      </w:tabs>
      <w:outlineLvl w:val="0"/>
    </w:pPr>
    <w:rPr>
      <w:b/>
      <w:sz w:val="28"/>
      <w:lang w:val="en-US"/>
    </w:rPr>
  </w:style>
  <w:style w:type="paragraph" w:styleId="Heading2">
    <w:name w:val="heading 2"/>
    <w:basedOn w:val="Normal"/>
    <w:next w:val="Normal"/>
    <w:link w:val="Heading2Char"/>
    <w:uiPriority w:val="99"/>
    <w:qFormat/>
    <w:rsid w:val="008F2789"/>
    <w:pPr>
      <w:keepNext/>
      <w:numPr>
        <w:numId w:val="15"/>
      </w:numPr>
      <w:tabs>
        <w:tab w:val="left" w:pos="1080"/>
      </w:tabs>
      <w:outlineLvl w:val="1"/>
    </w:pPr>
    <w:rPr>
      <w:b/>
      <w:sz w:val="24"/>
      <w:lang w:val="en-US"/>
    </w:rPr>
  </w:style>
  <w:style w:type="paragraph" w:styleId="Heading3">
    <w:name w:val="heading 3"/>
    <w:basedOn w:val="Normal"/>
    <w:next w:val="Normal"/>
    <w:link w:val="Heading3Char"/>
    <w:uiPriority w:val="99"/>
    <w:qFormat/>
    <w:rsid w:val="0061614E"/>
    <w:pPr>
      <w:keepNext/>
      <w:numPr>
        <w:numId w:val="3"/>
      </w:numPr>
      <w:outlineLvl w:val="2"/>
    </w:pPr>
    <w:rPr>
      <w:b/>
      <w:sz w:val="22"/>
      <w:lang w:val="en-US"/>
    </w:rPr>
  </w:style>
  <w:style w:type="paragraph" w:styleId="Heading4">
    <w:name w:val="heading 4"/>
    <w:basedOn w:val="Normal"/>
    <w:next w:val="Normal"/>
    <w:link w:val="Heading4Char"/>
    <w:uiPriority w:val="99"/>
    <w:qFormat/>
    <w:rsid w:val="0016166D"/>
    <w:pPr>
      <w:keepNext/>
      <w:jc w:val="center"/>
      <w:outlineLvl w:val="3"/>
    </w:pPr>
    <w:rPr>
      <w:sz w:val="24"/>
      <w:u w:val="single"/>
      <w:lang w:val="en-US"/>
    </w:rPr>
  </w:style>
  <w:style w:type="paragraph" w:styleId="Heading5">
    <w:name w:val="heading 5"/>
    <w:basedOn w:val="Normal"/>
    <w:next w:val="Normal"/>
    <w:link w:val="Heading5Char"/>
    <w:uiPriority w:val="99"/>
    <w:qFormat/>
    <w:rsid w:val="0016166D"/>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rsid w:val="0016166D"/>
    <w:pPr>
      <w:keepNext/>
      <w:outlineLvl w:val="5"/>
    </w:pPr>
    <w:rPr>
      <w:rFonts w:ascii="Arial" w:hAnsi="Arial"/>
      <w:b/>
      <w:sz w:val="32"/>
      <w:lang w:val="en-US"/>
    </w:rPr>
  </w:style>
  <w:style w:type="paragraph" w:styleId="Heading7">
    <w:name w:val="heading 7"/>
    <w:basedOn w:val="Normal"/>
    <w:next w:val="Normal"/>
    <w:link w:val="Heading7Char"/>
    <w:uiPriority w:val="99"/>
    <w:qFormat/>
    <w:rsid w:val="0016166D"/>
    <w:pPr>
      <w:keepNext/>
      <w:ind w:left="720"/>
      <w:outlineLvl w:val="6"/>
    </w:pPr>
  </w:style>
  <w:style w:type="paragraph" w:styleId="Heading8">
    <w:name w:val="heading 8"/>
    <w:basedOn w:val="Normal"/>
    <w:next w:val="Normal"/>
    <w:link w:val="Heading8Char"/>
    <w:uiPriority w:val="99"/>
    <w:qFormat/>
    <w:rsid w:val="0016166D"/>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5EF"/>
    <w:rPr>
      <w:b/>
      <w:sz w:val="28"/>
    </w:rPr>
  </w:style>
  <w:style w:type="character" w:customStyle="1" w:styleId="Heading2Char">
    <w:name w:val="Heading 2 Char"/>
    <w:basedOn w:val="DefaultParagraphFont"/>
    <w:link w:val="Heading2"/>
    <w:uiPriority w:val="99"/>
    <w:locked/>
    <w:rsid w:val="008F2789"/>
    <w:rPr>
      <w:b/>
      <w:sz w:val="24"/>
    </w:rPr>
  </w:style>
  <w:style w:type="character" w:customStyle="1" w:styleId="Heading3Char">
    <w:name w:val="Heading 3 Char"/>
    <w:basedOn w:val="DefaultParagraphFont"/>
    <w:link w:val="Heading3"/>
    <w:uiPriority w:val="99"/>
    <w:locked/>
    <w:rsid w:val="0061614E"/>
    <w:rPr>
      <w:b/>
      <w:sz w:val="22"/>
    </w:rPr>
  </w:style>
  <w:style w:type="character" w:customStyle="1" w:styleId="Heading4Char">
    <w:name w:val="Heading 4 Char"/>
    <w:basedOn w:val="DefaultParagraphFont"/>
    <w:link w:val="Heading4"/>
    <w:uiPriority w:val="99"/>
    <w:locked/>
    <w:rsid w:val="00A04E71"/>
    <w:rPr>
      <w:sz w:val="24"/>
      <w:u w:val="single"/>
    </w:rPr>
  </w:style>
  <w:style w:type="character" w:customStyle="1" w:styleId="Heading5Char">
    <w:name w:val="Heading 5 Char"/>
    <w:basedOn w:val="DefaultParagraphFont"/>
    <w:link w:val="Heading5"/>
    <w:uiPriority w:val="9"/>
    <w:semiHidden/>
    <w:rsid w:val="003E0E1C"/>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9"/>
    <w:locked/>
    <w:rsid w:val="00A04E71"/>
    <w:rPr>
      <w:rFonts w:ascii="Arial" w:hAnsi="Arial"/>
      <w:b/>
      <w:sz w:val="32"/>
    </w:rPr>
  </w:style>
  <w:style w:type="character" w:customStyle="1" w:styleId="Heading7Char">
    <w:name w:val="Heading 7 Char"/>
    <w:basedOn w:val="DefaultParagraphFont"/>
    <w:link w:val="Heading7"/>
    <w:uiPriority w:val="9"/>
    <w:semiHidden/>
    <w:rsid w:val="003E0E1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E0E1C"/>
    <w:rPr>
      <w:rFonts w:asciiTheme="minorHAnsi" w:eastAsiaTheme="minorEastAsia" w:hAnsiTheme="minorHAnsi" w:cstheme="minorBidi"/>
      <w:i/>
      <w:iCs/>
      <w:sz w:val="24"/>
      <w:szCs w:val="24"/>
      <w:lang w:val="en-GB"/>
    </w:rPr>
  </w:style>
  <w:style w:type="paragraph" w:styleId="Header">
    <w:name w:val="header"/>
    <w:basedOn w:val="Normal"/>
    <w:link w:val="HeaderChar"/>
    <w:uiPriority w:val="99"/>
    <w:rsid w:val="0016166D"/>
    <w:pPr>
      <w:tabs>
        <w:tab w:val="center" w:pos="4320"/>
        <w:tab w:val="right" w:pos="8640"/>
      </w:tabs>
    </w:pPr>
    <w:rPr>
      <w:sz w:val="24"/>
      <w:lang w:val="en-US"/>
    </w:rPr>
  </w:style>
  <w:style w:type="character" w:customStyle="1" w:styleId="HeaderChar">
    <w:name w:val="Header Char"/>
    <w:basedOn w:val="DefaultParagraphFont"/>
    <w:link w:val="Header"/>
    <w:uiPriority w:val="99"/>
    <w:locked/>
    <w:rsid w:val="00A04E71"/>
    <w:rPr>
      <w:sz w:val="24"/>
    </w:rPr>
  </w:style>
  <w:style w:type="paragraph" w:styleId="Footer">
    <w:name w:val="footer"/>
    <w:basedOn w:val="Normal"/>
    <w:link w:val="FooterChar"/>
    <w:uiPriority w:val="99"/>
    <w:rsid w:val="0016166D"/>
    <w:pPr>
      <w:tabs>
        <w:tab w:val="center" w:pos="4320"/>
        <w:tab w:val="right" w:pos="8640"/>
      </w:tabs>
    </w:pPr>
    <w:rPr>
      <w:sz w:val="24"/>
      <w:lang w:val="en-US"/>
    </w:rPr>
  </w:style>
  <w:style w:type="character" w:customStyle="1" w:styleId="FooterChar">
    <w:name w:val="Footer Char"/>
    <w:basedOn w:val="DefaultParagraphFont"/>
    <w:link w:val="Footer"/>
    <w:uiPriority w:val="99"/>
    <w:locked/>
    <w:rsid w:val="00A04E71"/>
    <w:rPr>
      <w:sz w:val="24"/>
    </w:rPr>
  </w:style>
  <w:style w:type="character" w:styleId="PageNumber">
    <w:name w:val="page number"/>
    <w:basedOn w:val="DefaultParagraphFont"/>
    <w:uiPriority w:val="99"/>
    <w:rsid w:val="0016166D"/>
    <w:rPr>
      <w:rFonts w:cs="Times New Roman"/>
    </w:rPr>
  </w:style>
  <w:style w:type="character" w:styleId="FootnoteReference">
    <w:name w:val="footnote reference"/>
    <w:basedOn w:val="DefaultParagraphFont"/>
    <w:uiPriority w:val="99"/>
    <w:rsid w:val="0016166D"/>
    <w:rPr>
      <w:rFonts w:cs="Times New Roman"/>
    </w:rPr>
  </w:style>
  <w:style w:type="paragraph" w:customStyle="1" w:styleId="Level1">
    <w:name w:val="Level 1"/>
    <w:basedOn w:val="Normal"/>
    <w:uiPriority w:val="99"/>
    <w:rsid w:val="0016166D"/>
    <w:pPr>
      <w:widowControl w:val="0"/>
    </w:pPr>
  </w:style>
  <w:style w:type="paragraph" w:styleId="Title">
    <w:name w:val="Title"/>
    <w:basedOn w:val="Normal"/>
    <w:link w:val="TitleChar"/>
    <w:uiPriority w:val="99"/>
    <w:qFormat/>
    <w:rsid w:val="0016166D"/>
    <w:pPr>
      <w:jc w:val="center"/>
    </w:pPr>
    <w:rPr>
      <w:b/>
      <w:sz w:val="28"/>
    </w:rPr>
  </w:style>
  <w:style w:type="character" w:customStyle="1" w:styleId="TitleChar">
    <w:name w:val="Title Char"/>
    <w:basedOn w:val="DefaultParagraphFont"/>
    <w:link w:val="Title"/>
    <w:uiPriority w:val="99"/>
    <w:locked/>
    <w:rsid w:val="00A04E71"/>
    <w:rPr>
      <w:b/>
      <w:sz w:val="28"/>
      <w:lang w:val="en-GB"/>
    </w:rPr>
  </w:style>
  <w:style w:type="paragraph" w:styleId="TOC1">
    <w:name w:val="toc 1"/>
    <w:basedOn w:val="Normal"/>
    <w:next w:val="Normal"/>
    <w:autoRedefine/>
    <w:uiPriority w:val="99"/>
    <w:rsid w:val="0016166D"/>
    <w:pPr>
      <w:tabs>
        <w:tab w:val="right" w:leader="dot" w:pos="9350"/>
      </w:tabs>
      <w:ind w:left="630" w:hanging="630"/>
    </w:pPr>
    <w:rPr>
      <w:noProof/>
    </w:rPr>
  </w:style>
  <w:style w:type="paragraph" w:styleId="TOC2">
    <w:name w:val="toc 2"/>
    <w:basedOn w:val="Normal"/>
    <w:next w:val="Normal"/>
    <w:autoRedefine/>
    <w:uiPriority w:val="99"/>
    <w:rsid w:val="005D68B0"/>
    <w:pPr>
      <w:tabs>
        <w:tab w:val="left" w:pos="630"/>
        <w:tab w:val="right" w:leader="dot" w:pos="9350"/>
      </w:tabs>
      <w:ind w:left="200"/>
    </w:pPr>
    <w:rPr>
      <w:noProof/>
    </w:rPr>
  </w:style>
  <w:style w:type="paragraph" w:styleId="TOC3">
    <w:name w:val="toc 3"/>
    <w:basedOn w:val="Normal"/>
    <w:next w:val="Normal"/>
    <w:autoRedefine/>
    <w:uiPriority w:val="99"/>
    <w:rsid w:val="0016166D"/>
    <w:pPr>
      <w:tabs>
        <w:tab w:val="left" w:pos="1800"/>
        <w:tab w:val="right" w:leader="dot" w:pos="9350"/>
      </w:tabs>
      <w:ind w:left="1260" w:hanging="860"/>
    </w:pPr>
    <w:rPr>
      <w:noProof/>
    </w:rPr>
  </w:style>
  <w:style w:type="paragraph" w:styleId="FootnoteText">
    <w:name w:val="footnote text"/>
    <w:basedOn w:val="Normal"/>
    <w:link w:val="FootnoteTextChar"/>
    <w:uiPriority w:val="99"/>
    <w:rsid w:val="0016166D"/>
    <w:rPr>
      <w:sz w:val="24"/>
    </w:rPr>
  </w:style>
  <w:style w:type="character" w:customStyle="1" w:styleId="FootnoteTextChar">
    <w:name w:val="Footnote Text Char"/>
    <w:basedOn w:val="DefaultParagraphFont"/>
    <w:link w:val="FootnoteText"/>
    <w:uiPriority w:val="99"/>
    <w:locked/>
    <w:rsid w:val="00A04E71"/>
    <w:rPr>
      <w:sz w:val="24"/>
      <w:lang w:val="en-GB"/>
    </w:rPr>
  </w:style>
  <w:style w:type="paragraph" w:styleId="BodyText3">
    <w:name w:val="Body Text 3"/>
    <w:basedOn w:val="Normal"/>
    <w:link w:val="BodyText3Char"/>
    <w:uiPriority w:val="99"/>
    <w:rsid w:val="0016166D"/>
    <w:pPr>
      <w:widowControl w:val="0"/>
      <w:jc w:val="both"/>
    </w:pPr>
  </w:style>
  <w:style w:type="character" w:customStyle="1" w:styleId="BodyText3Char">
    <w:name w:val="Body Text 3 Char"/>
    <w:basedOn w:val="DefaultParagraphFont"/>
    <w:link w:val="BodyText3"/>
    <w:uiPriority w:val="99"/>
    <w:semiHidden/>
    <w:rsid w:val="003E0E1C"/>
    <w:rPr>
      <w:sz w:val="16"/>
      <w:szCs w:val="16"/>
      <w:lang w:val="en-GB"/>
    </w:rPr>
  </w:style>
  <w:style w:type="paragraph" w:styleId="BodyText2">
    <w:name w:val="Body Text 2"/>
    <w:basedOn w:val="Normal"/>
    <w:link w:val="BodyText2Char"/>
    <w:uiPriority w:val="99"/>
    <w:rsid w:val="0016166D"/>
    <w:rPr>
      <w:u w:val="single"/>
    </w:rPr>
  </w:style>
  <w:style w:type="character" w:customStyle="1" w:styleId="BodyText2Char">
    <w:name w:val="Body Text 2 Char"/>
    <w:basedOn w:val="DefaultParagraphFont"/>
    <w:link w:val="BodyText2"/>
    <w:uiPriority w:val="99"/>
    <w:semiHidden/>
    <w:rsid w:val="003E0E1C"/>
    <w:rPr>
      <w:sz w:val="20"/>
      <w:szCs w:val="20"/>
      <w:lang w:val="en-GB"/>
    </w:rPr>
  </w:style>
  <w:style w:type="paragraph" w:styleId="BodyText">
    <w:name w:val="Body Text"/>
    <w:basedOn w:val="Normal"/>
    <w:link w:val="BodyTextChar"/>
    <w:uiPriority w:val="99"/>
    <w:rsid w:val="0016166D"/>
    <w:pPr>
      <w:spacing w:line="480" w:lineRule="auto"/>
    </w:pPr>
    <w:rPr>
      <w:sz w:val="24"/>
      <w:lang w:val="en-US"/>
    </w:rPr>
  </w:style>
  <w:style w:type="character" w:customStyle="1" w:styleId="BodyTextChar">
    <w:name w:val="Body Text Char"/>
    <w:basedOn w:val="DefaultParagraphFont"/>
    <w:link w:val="BodyText"/>
    <w:uiPriority w:val="99"/>
    <w:locked/>
    <w:rsid w:val="00A04E71"/>
    <w:rPr>
      <w:sz w:val="24"/>
    </w:rPr>
  </w:style>
  <w:style w:type="paragraph" w:styleId="BodyTextIndent2">
    <w:name w:val="Body Text Indent 2"/>
    <w:basedOn w:val="Normal"/>
    <w:link w:val="BodyTextIndent2Char"/>
    <w:uiPriority w:val="99"/>
    <w:rsid w:val="0016166D"/>
    <w:pPr>
      <w:ind w:left="720" w:hanging="720"/>
    </w:pPr>
  </w:style>
  <w:style w:type="character" w:customStyle="1" w:styleId="BodyTextIndent2Char">
    <w:name w:val="Body Text Indent 2 Char"/>
    <w:basedOn w:val="DefaultParagraphFont"/>
    <w:link w:val="BodyTextIndent2"/>
    <w:uiPriority w:val="99"/>
    <w:semiHidden/>
    <w:rsid w:val="003E0E1C"/>
    <w:rPr>
      <w:sz w:val="20"/>
      <w:szCs w:val="20"/>
      <w:lang w:val="en-GB"/>
    </w:rPr>
  </w:style>
  <w:style w:type="character" w:styleId="CommentReference">
    <w:name w:val="annotation reference"/>
    <w:basedOn w:val="DefaultParagraphFont"/>
    <w:uiPriority w:val="99"/>
    <w:semiHidden/>
    <w:rsid w:val="0016166D"/>
    <w:rPr>
      <w:rFonts w:cs="Times New Roman"/>
      <w:sz w:val="16"/>
    </w:rPr>
  </w:style>
  <w:style w:type="paragraph" w:styleId="BodyTextIndent">
    <w:name w:val="Body Text Indent"/>
    <w:basedOn w:val="Normal"/>
    <w:link w:val="BodyTextIndentChar"/>
    <w:uiPriority w:val="99"/>
    <w:rsid w:val="0016166D"/>
    <w:pPr>
      <w:ind w:left="720"/>
    </w:pPr>
    <w:rPr>
      <w:sz w:val="24"/>
      <w:lang w:val="en-US"/>
    </w:rPr>
  </w:style>
  <w:style w:type="character" w:customStyle="1" w:styleId="BodyTextIndentChar">
    <w:name w:val="Body Text Indent Char"/>
    <w:basedOn w:val="DefaultParagraphFont"/>
    <w:link w:val="BodyTextIndent"/>
    <w:uiPriority w:val="99"/>
    <w:locked/>
    <w:rsid w:val="00A04E71"/>
    <w:rPr>
      <w:sz w:val="24"/>
    </w:rPr>
  </w:style>
  <w:style w:type="paragraph" w:styleId="BodyTextIndent3">
    <w:name w:val="Body Text Indent 3"/>
    <w:basedOn w:val="Normal"/>
    <w:link w:val="BodyTextIndent3Char"/>
    <w:uiPriority w:val="99"/>
    <w:rsid w:val="0016166D"/>
    <w:pPr>
      <w:ind w:left="720"/>
    </w:pPr>
    <w:rPr>
      <w:i/>
    </w:rPr>
  </w:style>
  <w:style w:type="character" w:customStyle="1" w:styleId="BodyTextIndent3Char">
    <w:name w:val="Body Text Indent 3 Char"/>
    <w:basedOn w:val="DefaultParagraphFont"/>
    <w:link w:val="BodyTextIndent3"/>
    <w:uiPriority w:val="99"/>
    <w:semiHidden/>
    <w:rsid w:val="003E0E1C"/>
    <w:rPr>
      <w:sz w:val="16"/>
      <w:szCs w:val="16"/>
      <w:lang w:val="en-GB"/>
    </w:rPr>
  </w:style>
  <w:style w:type="paragraph" w:styleId="CommentText">
    <w:name w:val="annotation text"/>
    <w:basedOn w:val="Normal"/>
    <w:link w:val="CommentTextChar"/>
    <w:uiPriority w:val="99"/>
    <w:semiHidden/>
    <w:rsid w:val="0016166D"/>
    <w:pPr>
      <w:widowControl w:val="0"/>
    </w:pPr>
    <w:rPr>
      <w:sz w:val="24"/>
      <w:lang w:val="en-US"/>
    </w:rPr>
  </w:style>
  <w:style w:type="character" w:customStyle="1" w:styleId="CommentTextChar">
    <w:name w:val="Comment Text Char"/>
    <w:basedOn w:val="DefaultParagraphFont"/>
    <w:link w:val="CommentText"/>
    <w:uiPriority w:val="99"/>
    <w:semiHidden/>
    <w:locked/>
    <w:rsid w:val="00A04E71"/>
    <w:rPr>
      <w:snapToGrid w:val="0"/>
      <w:sz w:val="24"/>
    </w:rPr>
  </w:style>
  <w:style w:type="paragraph" w:styleId="ListParagraph">
    <w:name w:val="List Paragraph"/>
    <w:basedOn w:val="Normal"/>
    <w:link w:val="ListParagraphChar"/>
    <w:uiPriority w:val="99"/>
    <w:qFormat/>
    <w:rsid w:val="002D7487"/>
    <w:pPr>
      <w:spacing w:line="276" w:lineRule="auto"/>
      <w:ind w:left="1440"/>
      <w:contextualSpacing/>
    </w:pPr>
    <w:rPr>
      <w:szCs w:val="22"/>
    </w:rPr>
  </w:style>
  <w:style w:type="paragraph" w:customStyle="1" w:styleId="SingleTxt">
    <w:name w:val="__Single Txt"/>
    <w:basedOn w:val="Normal"/>
    <w:uiPriority w:val="99"/>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 w:val="24"/>
      <w:szCs w:val="28"/>
      <w:lang w:val="en-US"/>
    </w:rPr>
  </w:style>
  <w:style w:type="character" w:customStyle="1" w:styleId="SubtitleChar">
    <w:name w:val="Subtitle Char"/>
    <w:basedOn w:val="DefaultParagraphFont"/>
    <w:link w:val="Subtitle"/>
    <w:uiPriority w:val="99"/>
    <w:locked/>
    <w:rsid w:val="00A04E71"/>
    <w:rPr>
      <w:b/>
      <w:sz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basedOn w:val="DefaultParagraphFont"/>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basedOn w:val="CommentTextChar"/>
    <w:link w:val="CommentSubject"/>
    <w:uiPriority w:val="99"/>
    <w:locked/>
    <w:rsid w:val="00A04E71"/>
    <w:rPr>
      <w:b/>
      <w:snapToGrid w:val="0"/>
      <w:sz w:val="24"/>
    </w:rPr>
  </w:style>
  <w:style w:type="paragraph" w:styleId="BalloonText">
    <w:name w:val="Balloon Text"/>
    <w:basedOn w:val="Normal"/>
    <w:link w:val="BalloonTextChar"/>
    <w:uiPriority w:val="99"/>
    <w:rsid w:val="00A04E71"/>
    <w:rPr>
      <w:rFonts w:ascii="Tahoma" w:hAnsi="Tahoma"/>
      <w:sz w:val="16"/>
      <w:szCs w:val="16"/>
      <w:lang w:val="en-US"/>
    </w:rPr>
  </w:style>
  <w:style w:type="character" w:customStyle="1" w:styleId="BalloonTextChar">
    <w:name w:val="Balloon Text Char"/>
    <w:basedOn w:val="DefaultParagraphFont"/>
    <w:link w:val="BalloonText"/>
    <w:uiPriority w:val="99"/>
    <w:locked/>
    <w:rsid w:val="00A04E71"/>
    <w:rPr>
      <w:rFonts w:ascii="Tahoma" w:hAnsi="Tahoma"/>
      <w:sz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locked/>
    <w:rsid w:val="00A04E71"/>
    <w:rPr>
      <w:rFonts w:cs="Times New Roman"/>
    </w:rPr>
  </w:style>
  <w:style w:type="character" w:styleId="EndnoteReference">
    <w:name w:val="endnote reference"/>
    <w:basedOn w:val="DefaultParagraphFont"/>
    <w:uiPriority w:val="99"/>
    <w:rsid w:val="00A04E71"/>
    <w:rPr>
      <w:rFonts w:cs="Times New Roman"/>
      <w:vertAlign w:val="superscript"/>
    </w:rPr>
  </w:style>
  <w:style w:type="character" w:customStyle="1" w:styleId="ti">
    <w:name w:val="ti"/>
    <w:uiPriority w:val="99"/>
    <w:rsid w:val="00A04E71"/>
  </w:style>
  <w:style w:type="table" w:styleId="TableGrid">
    <w:name w:val="Table Grid"/>
    <w:basedOn w:val="TableNormal"/>
    <w:uiPriority w:val="99"/>
    <w:rsid w:val="00A04E7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A04E71"/>
    <w:rPr>
      <w:rFonts w:ascii="Courier New" w:hAnsi="Courier New"/>
    </w:rPr>
  </w:style>
  <w:style w:type="paragraph" w:styleId="NoSpacing">
    <w:name w:val="No Spacing"/>
    <w:link w:val="NoSpacingChar"/>
    <w:uiPriority w:val="99"/>
    <w:qFormat/>
    <w:rsid w:val="00A04E71"/>
    <w:rPr>
      <w:rFonts w:ascii="Calibri" w:hAnsi="Calibri"/>
    </w:rPr>
  </w:style>
  <w:style w:type="character" w:styleId="Emphasis">
    <w:name w:val="Emphasis"/>
    <w:basedOn w:val="DefaultParagraphFont"/>
    <w:uiPriority w:val="99"/>
    <w:qFormat/>
    <w:rsid w:val="00A04E71"/>
    <w:rPr>
      <w:rFonts w:cs="Times New Roman"/>
      <w:i/>
    </w:rPr>
  </w:style>
  <w:style w:type="character" w:customStyle="1" w:styleId="reportbody1">
    <w:name w:val="reportbody1"/>
    <w:uiPriority w:val="99"/>
    <w:rsid w:val="00A04E71"/>
    <w:rPr>
      <w:rFonts w:ascii="Tahoma" w:hAnsi="Tahoma"/>
      <w:color w:val="000000"/>
      <w:sz w:val="11"/>
    </w:rPr>
  </w:style>
  <w:style w:type="paragraph" w:customStyle="1" w:styleId="MediumGrid1-Accent21">
    <w:name w:val="Medium Grid 1 - Accent 21"/>
    <w:basedOn w:val="Normal"/>
    <w:uiPriority w:val="99"/>
    <w:rsid w:val="00A04E71"/>
    <w:pPr>
      <w:spacing w:after="200" w:line="276" w:lineRule="auto"/>
      <w:ind w:left="720"/>
      <w:contextualSpacing/>
    </w:pPr>
    <w:rPr>
      <w:rFonts w:ascii="Calibri" w:hAnsi="Calibri"/>
      <w:sz w:val="22"/>
      <w:szCs w:val="22"/>
    </w:rPr>
  </w:style>
  <w:style w:type="paragraph" w:styleId="List">
    <w:name w:val="List"/>
    <w:basedOn w:val="Normal"/>
    <w:uiPriority w:val="99"/>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rsid w:val="00A04E71"/>
    <w:rPr>
      <w:i/>
      <w:sz w:val="22"/>
      <w:szCs w:val="24"/>
      <w:lang w:eastAsia="zh-CN"/>
    </w:rPr>
  </w:style>
  <w:style w:type="paragraph" w:customStyle="1" w:styleId="default0">
    <w:name w:val="default"/>
    <w:basedOn w:val="Normal"/>
    <w:uiPriority w:val="99"/>
    <w:rsid w:val="00A04E71"/>
    <w:pPr>
      <w:spacing w:before="100" w:beforeAutospacing="1" w:after="100" w:afterAutospacing="1"/>
    </w:pPr>
    <w:rPr>
      <w:szCs w:val="24"/>
    </w:rPr>
  </w:style>
  <w:style w:type="character" w:styleId="FollowedHyperlink">
    <w:name w:val="FollowedHyperlink"/>
    <w:basedOn w:val="DefaultParagraphFont"/>
    <w:uiPriority w:val="99"/>
    <w:rsid w:val="00271597"/>
    <w:rPr>
      <w:rFonts w:cs="Times New Roman"/>
      <w:color w:val="800080"/>
      <w:u w:val="single"/>
    </w:rPr>
  </w:style>
  <w:style w:type="paragraph" w:customStyle="1" w:styleId="DualTxt">
    <w:name w:val="__Dual Txt"/>
    <w:basedOn w:val="Normal"/>
    <w:uiPriority w:val="99"/>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rsid w:val="00854DB0"/>
  </w:style>
  <w:style w:type="paragraph" w:customStyle="1" w:styleId="Subtitle1">
    <w:name w:val="Subtitle1"/>
    <w:uiPriority w:val="99"/>
    <w:rsid w:val="005719DB"/>
    <w:pPr>
      <w:jc w:val="center"/>
    </w:pPr>
    <w:rPr>
      <w:rFonts w:ascii="Times New Roman Bold" w:eastAsia="ヒラギノ角ゴ Pro W3" w:hAnsi="Times New Roman Bold"/>
      <w:color w:val="000000"/>
      <w:sz w:val="24"/>
      <w:szCs w:val="20"/>
    </w:rPr>
  </w:style>
  <w:style w:type="paragraph" w:customStyle="1" w:styleId="H23">
    <w:name w:val="_ H_2/3"/>
    <w:basedOn w:val="Normal"/>
    <w:next w:val="Normal"/>
    <w:uiPriority w:val="99"/>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rsid w:val="00207D1B"/>
    <w:pPr>
      <w:keepLines/>
      <w:numPr>
        <w:numId w:val="0"/>
      </w:numPr>
      <w:tabs>
        <w:tab w:val="clear" w:pos="1080"/>
      </w:tabs>
      <w:spacing w:before="480" w:line="276" w:lineRule="auto"/>
      <w:outlineLvl w:val="9"/>
    </w:pPr>
    <w:rPr>
      <w:rFonts w:ascii="Cambria" w:eastAsia="MS Gothic" w:hAnsi="Cambria"/>
      <w:bCs/>
      <w:color w:val="365F91"/>
      <w:szCs w:val="28"/>
      <w:lang w:eastAsia="ja-JP"/>
    </w:rPr>
  </w:style>
  <w:style w:type="character" w:customStyle="1" w:styleId="ListParagraphChar">
    <w:name w:val="List Paragraph Char"/>
    <w:link w:val="ListParagraph"/>
    <w:uiPriority w:val="99"/>
    <w:locked/>
    <w:rsid w:val="00C85084"/>
    <w:rPr>
      <w:rFonts w:eastAsia="Times New Roman"/>
      <w:sz w:val="22"/>
      <w:lang w:val="en-GB"/>
    </w:rPr>
  </w:style>
  <w:style w:type="table" w:customStyle="1" w:styleId="TableGrid1">
    <w:name w:val="Table Grid1"/>
    <w:uiPriority w:val="99"/>
    <w:rsid w:val="00DB4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4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59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465EE5"/>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0ACD"/>
    <w:rPr>
      <w:sz w:val="20"/>
      <w:szCs w:val="20"/>
      <w:lang w:val="en-GB"/>
    </w:rPr>
  </w:style>
  <w:style w:type="paragraph" w:styleId="Heading1">
    <w:name w:val="heading 1"/>
    <w:basedOn w:val="Normal"/>
    <w:next w:val="Normal"/>
    <w:link w:val="Heading1Char"/>
    <w:uiPriority w:val="99"/>
    <w:qFormat/>
    <w:rsid w:val="004845EF"/>
    <w:pPr>
      <w:keepNext/>
      <w:numPr>
        <w:numId w:val="2"/>
      </w:numPr>
      <w:tabs>
        <w:tab w:val="left" w:pos="1080"/>
      </w:tabs>
      <w:outlineLvl w:val="0"/>
    </w:pPr>
    <w:rPr>
      <w:b/>
      <w:sz w:val="28"/>
      <w:lang w:val="en-US"/>
    </w:rPr>
  </w:style>
  <w:style w:type="paragraph" w:styleId="Heading2">
    <w:name w:val="heading 2"/>
    <w:basedOn w:val="Normal"/>
    <w:next w:val="Normal"/>
    <w:link w:val="Heading2Char"/>
    <w:uiPriority w:val="99"/>
    <w:qFormat/>
    <w:rsid w:val="008F2789"/>
    <w:pPr>
      <w:keepNext/>
      <w:numPr>
        <w:numId w:val="15"/>
      </w:numPr>
      <w:tabs>
        <w:tab w:val="left" w:pos="1080"/>
      </w:tabs>
      <w:outlineLvl w:val="1"/>
    </w:pPr>
    <w:rPr>
      <w:b/>
      <w:sz w:val="24"/>
      <w:lang w:val="en-US"/>
    </w:rPr>
  </w:style>
  <w:style w:type="paragraph" w:styleId="Heading3">
    <w:name w:val="heading 3"/>
    <w:basedOn w:val="Normal"/>
    <w:next w:val="Normal"/>
    <w:link w:val="Heading3Char"/>
    <w:uiPriority w:val="99"/>
    <w:qFormat/>
    <w:rsid w:val="0061614E"/>
    <w:pPr>
      <w:keepNext/>
      <w:numPr>
        <w:numId w:val="3"/>
      </w:numPr>
      <w:outlineLvl w:val="2"/>
    </w:pPr>
    <w:rPr>
      <w:b/>
      <w:sz w:val="22"/>
      <w:lang w:val="en-US"/>
    </w:rPr>
  </w:style>
  <w:style w:type="paragraph" w:styleId="Heading4">
    <w:name w:val="heading 4"/>
    <w:basedOn w:val="Normal"/>
    <w:next w:val="Normal"/>
    <w:link w:val="Heading4Char"/>
    <w:uiPriority w:val="99"/>
    <w:qFormat/>
    <w:rsid w:val="0016166D"/>
    <w:pPr>
      <w:keepNext/>
      <w:jc w:val="center"/>
      <w:outlineLvl w:val="3"/>
    </w:pPr>
    <w:rPr>
      <w:sz w:val="24"/>
      <w:u w:val="single"/>
      <w:lang w:val="en-US"/>
    </w:rPr>
  </w:style>
  <w:style w:type="paragraph" w:styleId="Heading5">
    <w:name w:val="heading 5"/>
    <w:basedOn w:val="Normal"/>
    <w:next w:val="Normal"/>
    <w:link w:val="Heading5Char"/>
    <w:uiPriority w:val="99"/>
    <w:qFormat/>
    <w:rsid w:val="0016166D"/>
    <w:pPr>
      <w:keepNext/>
      <w:numPr>
        <w:numId w:val="1"/>
      </w:numPr>
      <w:tabs>
        <w:tab w:val="center" w:pos="4680"/>
      </w:tabs>
      <w:jc w:val="center"/>
      <w:outlineLvl w:val="4"/>
    </w:pPr>
    <w:rPr>
      <w:u w:val="single"/>
    </w:rPr>
  </w:style>
  <w:style w:type="paragraph" w:styleId="Heading6">
    <w:name w:val="heading 6"/>
    <w:basedOn w:val="Normal"/>
    <w:next w:val="Normal"/>
    <w:link w:val="Heading6Char"/>
    <w:uiPriority w:val="99"/>
    <w:qFormat/>
    <w:rsid w:val="0016166D"/>
    <w:pPr>
      <w:keepNext/>
      <w:outlineLvl w:val="5"/>
    </w:pPr>
    <w:rPr>
      <w:rFonts w:ascii="Arial" w:hAnsi="Arial"/>
      <w:b/>
      <w:sz w:val="32"/>
      <w:lang w:val="en-US"/>
    </w:rPr>
  </w:style>
  <w:style w:type="paragraph" w:styleId="Heading7">
    <w:name w:val="heading 7"/>
    <w:basedOn w:val="Normal"/>
    <w:next w:val="Normal"/>
    <w:link w:val="Heading7Char"/>
    <w:uiPriority w:val="99"/>
    <w:qFormat/>
    <w:rsid w:val="0016166D"/>
    <w:pPr>
      <w:keepNext/>
      <w:ind w:left="720"/>
      <w:outlineLvl w:val="6"/>
    </w:pPr>
  </w:style>
  <w:style w:type="paragraph" w:styleId="Heading8">
    <w:name w:val="heading 8"/>
    <w:basedOn w:val="Normal"/>
    <w:next w:val="Normal"/>
    <w:link w:val="Heading8Char"/>
    <w:uiPriority w:val="99"/>
    <w:qFormat/>
    <w:rsid w:val="0016166D"/>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5EF"/>
    <w:rPr>
      <w:b/>
      <w:sz w:val="28"/>
    </w:rPr>
  </w:style>
  <w:style w:type="character" w:customStyle="1" w:styleId="Heading2Char">
    <w:name w:val="Heading 2 Char"/>
    <w:basedOn w:val="DefaultParagraphFont"/>
    <w:link w:val="Heading2"/>
    <w:uiPriority w:val="99"/>
    <w:locked/>
    <w:rsid w:val="008F2789"/>
    <w:rPr>
      <w:b/>
      <w:sz w:val="24"/>
    </w:rPr>
  </w:style>
  <w:style w:type="character" w:customStyle="1" w:styleId="Heading3Char">
    <w:name w:val="Heading 3 Char"/>
    <w:basedOn w:val="DefaultParagraphFont"/>
    <w:link w:val="Heading3"/>
    <w:uiPriority w:val="99"/>
    <w:locked/>
    <w:rsid w:val="0061614E"/>
    <w:rPr>
      <w:b/>
      <w:sz w:val="22"/>
    </w:rPr>
  </w:style>
  <w:style w:type="character" w:customStyle="1" w:styleId="Heading4Char">
    <w:name w:val="Heading 4 Char"/>
    <w:basedOn w:val="DefaultParagraphFont"/>
    <w:link w:val="Heading4"/>
    <w:uiPriority w:val="99"/>
    <w:locked/>
    <w:rsid w:val="00A04E71"/>
    <w:rPr>
      <w:sz w:val="24"/>
      <w:u w:val="single"/>
    </w:rPr>
  </w:style>
  <w:style w:type="character" w:customStyle="1" w:styleId="Heading5Char">
    <w:name w:val="Heading 5 Char"/>
    <w:basedOn w:val="DefaultParagraphFont"/>
    <w:link w:val="Heading5"/>
    <w:uiPriority w:val="9"/>
    <w:semiHidden/>
    <w:rsid w:val="003E0E1C"/>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9"/>
    <w:locked/>
    <w:rsid w:val="00A04E71"/>
    <w:rPr>
      <w:rFonts w:ascii="Arial" w:hAnsi="Arial"/>
      <w:b/>
      <w:sz w:val="32"/>
    </w:rPr>
  </w:style>
  <w:style w:type="character" w:customStyle="1" w:styleId="Heading7Char">
    <w:name w:val="Heading 7 Char"/>
    <w:basedOn w:val="DefaultParagraphFont"/>
    <w:link w:val="Heading7"/>
    <w:uiPriority w:val="9"/>
    <w:semiHidden/>
    <w:rsid w:val="003E0E1C"/>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E0E1C"/>
    <w:rPr>
      <w:rFonts w:asciiTheme="minorHAnsi" w:eastAsiaTheme="minorEastAsia" w:hAnsiTheme="minorHAnsi" w:cstheme="minorBidi"/>
      <w:i/>
      <w:iCs/>
      <w:sz w:val="24"/>
      <w:szCs w:val="24"/>
      <w:lang w:val="en-GB"/>
    </w:rPr>
  </w:style>
  <w:style w:type="paragraph" w:styleId="Header">
    <w:name w:val="header"/>
    <w:basedOn w:val="Normal"/>
    <w:link w:val="HeaderChar"/>
    <w:uiPriority w:val="99"/>
    <w:rsid w:val="0016166D"/>
    <w:pPr>
      <w:tabs>
        <w:tab w:val="center" w:pos="4320"/>
        <w:tab w:val="right" w:pos="8640"/>
      </w:tabs>
    </w:pPr>
    <w:rPr>
      <w:sz w:val="24"/>
      <w:lang w:val="en-US"/>
    </w:rPr>
  </w:style>
  <w:style w:type="character" w:customStyle="1" w:styleId="HeaderChar">
    <w:name w:val="Header Char"/>
    <w:basedOn w:val="DefaultParagraphFont"/>
    <w:link w:val="Header"/>
    <w:uiPriority w:val="99"/>
    <w:locked/>
    <w:rsid w:val="00A04E71"/>
    <w:rPr>
      <w:sz w:val="24"/>
    </w:rPr>
  </w:style>
  <w:style w:type="paragraph" w:styleId="Footer">
    <w:name w:val="footer"/>
    <w:basedOn w:val="Normal"/>
    <w:link w:val="FooterChar"/>
    <w:uiPriority w:val="99"/>
    <w:rsid w:val="0016166D"/>
    <w:pPr>
      <w:tabs>
        <w:tab w:val="center" w:pos="4320"/>
        <w:tab w:val="right" w:pos="8640"/>
      </w:tabs>
    </w:pPr>
    <w:rPr>
      <w:sz w:val="24"/>
      <w:lang w:val="en-US"/>
    </w:rPr>
  </w:style>
  <w:style w:type="character" w:customStyle="1" w:styleId="FooterChar">
    <w:name w:val="Footer Char"/>
    <w:basedOn w:val="DefaultParagraphFont"/>
    <w:link w:val="Footer"/>
    <w:uiPriority w:val="99"/>
    <w:locked/>
    <w:rsid w:val="00A04E71"/>
    <w:rPr>
      <w:sz w:val="24"/>
    </w:rPr>
  </w:style>
  <w:style w:type="character" w:styleId="PageNumber">
    <w:name w:val="page number"/>
    <w:basedOn w:val="DefaultParagraphFont"/>
    <w:uiPriority w:val="99"/>
    <w:rsid w:val="0016166D"/>
    <w:rPr>
      <w:rFonts w:cs="Times New Roman"/>
    </w:rPr>
  </w:style>
  <w:style w:type="character" w:styleId="FootnoteReference">
    <w:name w:val="footnote reference"/>
    <w:basedOn w:val="DefaultParagraphFont"/>
    <w:uiPriority w:val="99"/>
    <w:rsid w:val="0016166D"/>
    <w:rPr>
      <w:rFonts w:cs="Times New Roman"/>
    </w:rPr>
  </w:style>
  <w:style w:type="paragraph" w:customStyle="1" w:styleId="Level1">
    <w:name w:val="Level 1"/>
    <w:basedOn w:val="Normal"/>
    <w:uiPriority w:val="99"/>
    <w:rsid w:val="0016166D"/>
    <w:pPr>
      <w:widowControl w:val="0"/>
    </w:pPr>
  </w:style>
  <w:style w:type="paragraph" w:styleId="Title">
    <w:name w:val="Title"/>
    <w:basedOn w:val="Normal"/>
    <w:link w:val="TitleChar"/>
    <w:uiPriority w:val="99"/>
    <w:qFormat/>
    <w:rsid w:val="0016166D"/>
    <w:pPr>
      <w:jc w:val="center"/>
    </w:pPr>
    <w:rPr>
      <w:b/>
      <w:sz w:val="28"/>
    </w:rPr>
  </w:style>
  <w:style w:type="character" w:customStyle="1" w:styleId="TitleChar">
    <w:name w:val="Title Char"/>
    <w:basedOn w:val="DefaultParagraphFont"/>
    <w:link w:val="Title"/>
    <w:uiPriority w:val="99"/>
    <w:locked/>
    <w:rsid w:val="00A04E71"/>
    <w:rPr>
      <w:b/>
      <w:sz w:val="28"/>
      <w:lang w:val="en-GB"/>
    </w:rPr>
  </w:style>
  <w:style w:type="paragraph" w:styleId="TOC1">
    <w:name w:val="toc 1"/>
    <w:basedOn w:val="Normal"/>
    <w:next w:val="Normal"/>
    <w:autoRedefine/>
    <w:uiPriority w:val="99"/>
    <w:rsid w:val="0016166D"/>
    <w:pPr>
      <w:tabs>
        <w:tab w:val="right" w:leader="dot" w:pos="9350"/>
      </w:tabs>
      <w:ind w:left="630" w:hanging="630"/>
    </w:pPr>
    <w:rPr>
      <w:noProof/>
    </w:rPr>
  </w:style>
  <w:style w:type="paragraph" w:styleId="TOC2">
    <w:name w:val="toc 2"/>
    <w:basedOn w:val="Normal"/>
    <w:next w:val="Normal"/>
    <w:autoRedefine/>
    <w:uiPriority w:val="99"/>
    <w:rsid w:val="005D68B0"/>
    <w:pPr>
      <w:tabs>
        <w:tab w:val="left" w:pos="630"/>
        <w:tab w:val="right" w:leader="dot" w:pos="9350"/>
      </w:tabs>
      <w:ind w:left="200"/>
    </w:pPr>
    <w:rPr>
      <w:noProof/>
    </w:rPr>
  </w:style>
  <w:style w:type="paragraph" w:styleId="TOC3">
    <w:name w:val="toc 3"/>
    <w:basedOn w:val="Normal"/>
    <w:next w:val="Normal"/>
    <w:autoRedefine/>
    <w:uiPriority w:val="99"/>
    <w:rsid w:val="0016166D"/>
    <w:pPr>
      <w:tabs>
        <w:tab w:val="left" w:pos="1800"/>
        <w:tab w:val="right" w:leader="dot" w:pos="9350"/>
      </w:tabs>
      <w:ind w:left="1260" w:hanging="860"/>
    </w:pPr>
    <w:rPr>
      <w:noProof/>
    </w:rPr>
  </w:style>
  <w:style w:type="paragraph" w:styleId="FootnoteText">
    <w:name w:val="footnote text"/>
    <w:basedOn w:val="Normal"/>
    <w:link w:val="FootnoteTextChar"/>
    <w:uiPriority w:val="99"/>
    <w:rsid w:val="0016166D"/>
    <w:rPr>
      <w:sz w:val="24"/>
    </w:rPr>
  </w:style>
  <w:style w:type="character" w:customStyle="1" w:styleId="FootnoteTextChar">
    <w:name w:val="Footnote Text Char"/>
    <w:basedOn w:val="DefaultParagraphFont"/>
    <w:link w:val="FootnoteText"/>
    <w:uiPriority w:val="99"/>
    <w:locked/>
    <w:rsid w:val="00A04E71"/>
    <w:rPr>
      <w:sz w:val="24"/>
      <w:lang w:val="en-GB"/>
    </w:rPr>
  </w:style>
  <w:style w:type="paragraph" w:styleId="BodyText3">
    <w:name w:val="Body Text 3"/>
    <w:basedOn w:val="Normal"/>
    <w:link w:val="BodyText3Char"/>
    <w:uiPriority w:val="99"/>
    <w:rsid w:val="0016166D"/>
    <w:pPr>
      <w:widowControl w:val="0"/>
      <w:jc w:val="both"/>
    </w:pPr>
  </w:style>
  <w:style w:type="character" w:customStyle="1" w:styleId="BodyText3Char">
    <w:name w:val="Body Text 3 Char"/>
    <w:basedOn w:val="DefaultParagraphFont"/>
    <w:link w:val="BodyText3"/>
    <w:uiPriority w:val="99"/>
    <w:semiHidden/>
    <w:rsid w:val="003E0E1C"/>
    <w:rPr>
      <w:sz w:val="16"/>
      <w:szCs w:val="16"/>
      <w:lang w:val="en-GB"/>
    </w:rPr>
  </w:style>
  <w:style w:type="paragraph" w:styleId="BodyText2">
    <w:name w:val="Body Text 2"/>
    <w:basedOn w:val="Normal"/>
    <w:link w:val="BodyText2Char"/>
    <w:uiPriority w:val="99"/>
    <w:rsid w:val="0016166D"/>
    <w:rPr>
      <w:u w:val="single"/>
    </w:rPr>
  </w:style>
  <w:style w:type="character" w:customStyle="1" w:styleId="BodyText2Char">
    <w:name w:val="Body Text 2 Char"/>
    <w:basedOn w:val="DefaultParagraphFont"/>
    <w:link w:val="BodyText2"/>
    <w:uiPriority w:val="99"/>
    <w:semiHidden/>
    <w:rsid w:val="003E0E1C"/>
    <w:rPr>
      <w:sz w:val="20"/>
      <w:szCs w:val="20"/>
      <w:lang w:val="en-GB"/>
    </w:rPr>
  </w:style>
  <w:style w:type="paragraph" w:styleId="BodyText">
    <w:name w:val="Body Text"/>
    <w:basedOn w:val="Normal"/>
    <w:link w:val="BodyTextChar"/>
    <w:uiPriority w:val="99"/>
    <w:rsid w:val="0016166D"/>
    <w:pPr>
      <w:spacing w:line="480" w:lineRule="auto"/>
    </w:pPr>
    <w:rPr>
      <w:sz w:val="24"/>
      <w:lang w:val="en-US"/>
    </w:rPr>
  </w:style>
  <w:style w:type="character" w:customStyle="1" w:styleId="BodyTextChar">
    <w:name w:val="Body Text Char"/>
    <w:basedOn w:val="DefaultParagraphFont"/>
    <w:link w:val="BodyText"/>
    <w:uiPriority w:val="99"/>
    <w:locked/>
    <w:rsid w:val="00A04E71"/>
    <w:rPr>
      <w:sz w:val="24"/>
    </w:rPr>
  </w:style>
  <w:style w:type="paragraph" w:styleId="BodyTextIndent2">
    <w:name w:val="Body Text Indent 2"/>
    <w:basedOn w:val="Normal"/>
    <w:link w:val="BodyTextIndent2Char"/>
    <w:uiPriority w:val="99"/>
    <w:rsid w:val="0016166D"/>
    <w:pPr>
      <w:ind w:left="720" w:hanging="720"/>
    </w:pPr>
  </w:style>
  <w:style w:type="character" w:customStyle="1" w:styleId="BodyTextIndent2Char">
    <w:name w:val="Body Text Indent 2 Char"/>
    <w:basedOn w:val="DefaultParagraphFont"/>
    <w:link w:val="BodyTextIndent2"/>
    <w:uiPriority w:val="99"/>
    <w:semiHidden/>
    <w:rsid w:val="003E0E1C"/>
    <w:rPr>
      <w:sz w:val="20"/>
      <w:szCs w:val="20"/>
      <w:lang w:val="en-GB"/>
    </w:rPr>
  </w:style>
  <w:style w:type="character" w:styleId="CommentReference">
    <w:name w:val="annotation reference"/>
    <w:basedOn w:val="DefaultParagraphFont"/>
    <w:uiPriority w:val="99"/>
    <w:semiHidden/>
    <w:rsid w:val="0016166D"/>
    <w:rPr>
      <w:rFonts w:cs="Times New Roman"/>
      <w:sz w:val="16"/>
    </w:rPr>
  </w:style>
  <w:style w:type="paragraph" w:styleId="BodyTextIndent">
    <w:name w:val="Body Text Indent"/>
    <w:basedOn w:val="Normal"/>
    <w:link w:val="BodyTextIndentChar"/>
    <w:uiPriority w:val="99"/>
    <w:rsid w:val="0016166D"/>
    <w:pPr>
      <w:ind w:left="720"/>
    </w:pPr>
    <w:rPr>
      <w:sz w:val="24"/>
      <w:lang w:val="en-US"/>
    </w:rPr>
  </w:style>
  <w:style w:type="character" w:customStyle="1" w:styleId="BodyTextIndentChar">
    <w:name w:val="Body Text Indent Char"/>
    <w:basedOn w:val="DefaultParagraphFont"/>
    <w:link w:val="BodyTextIndent"/>
    <w:uiPriority w:val="99"/>
    <w:locked/>
    <w:rsid w:val="00A04E71"/>
    <w:rPr>
      <w:sz w:val="24"/>
    </w:rPr>
  </w:style>
  <w:style w:type="paragraph" w:styleId="BodyTextIndent3">
    <w:name w:val="Body Text Indent 3"/>
    <w:basedOn w:val="Normal"/>
    <w:link w:val="BodyTextIndent3Char"/>
    <w:uiPriority w:val="99"/>
    <w:rsid w:val="0016166D"/>
    <w:pPr>
      <w:ind w:left="720"/>
    </w:pPr>
    <w:rPr>
      <w:i/>
    </w:rPr>
  </w:style>
  <w:style w:type="character" w:customStyle="1" w:styleId="BodyTextIndent3Char">
    <w:name w:val="Body Text Indent 3 Char"/>
    <w:basedOn w:val="DefaultParagraphFont"/>
    <w:link w:val="BodyTextIndent3"/>
    <w:uiPriority w:val="99"/>
    <w:semiHidden/>
    <w:rsid w:val="003E0E1C"/>
    <w:rPr>
      <w:sz w:val="16"/>
      <w:szCs w:val="16"/>
      <w:lang w:val="en-GB"/>
    </w:rPr>
  </w:style>
  <w:style w:type="paragraph" w:styleId="CommentText">
    <w:name w:val="annotation text"/>
    <w:basedOn w:val="Normal"/>
    <w:link w:val="CommentTextChar"/>
    <w:uiPriority w:val="99"/>
    <w:semiHidden/>
    <w:rsid w:val="0016166D"/>
    <w:pPr>
      <w:widowControl w:val="0"/>
    </w:pPr>
    <w:rPr>
      <w:sz w:val="24"/>
      <w:lang w:val="en-US"/>
    </w:rPr>
  </w:style>
  <w:style w:type="character" w:customStyle="1" w:styleId="CommentTextChar">
    <w:name w:val="Comment Text Char"/>
    <w:basedOn w:val="DefaultParagraphFont"/>
    <w:link w:val="CommentText"/>
    <w:uiPriority w:val="99"/>
    <w:semiHidden/>
    <w:locked/>
    <w:rsid w:val="00A04E71"/>
    <w:rPr>
      <w:snapToGrid w:val="0"/>
      <w:sz w:val="24"/>
    </w:rPr>
  </w:style>
  <w:style w:type="paragraph" w:styleId="ListParagraph">
    <w:name w:val="List Paragraph"/>
    <w:basedOn w:val="Normal"/>
    <w:link w:val="ListParagraphChar"/>
    <w:uiPriority w:val="99"/>
    <w:qFormat/>
    <w:rsid w:val="002D7487"/>
    <w:pPr>
      <w:spacing w:line="276" w:lineRule="auto"/>
      <w:ind w:left="1440"/>
      <w:contextualSpacing/>
    </w:pPr>
    <w:rPr>
      <w:szCs w:val="22"/>
    </w:rPr>
  </w:style>
  <w:style w:type="paragraph" w:customStyle="1" w:styleId="SingleTxt">
    <w:name w:val="__Single Txt"/>
    <w:basedOn w:val="Normal"/>
    <w:uiPriority w:val="99"/>
    <w:rsid w:val="00A04E7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99"/>
    <w:qFormat/>
    <w:rsid w:val="00A04E71"/>
    <w:pPr>
      <w:jc w:val="center"/>
    </w:pPr>
    <w:rPr>
      <w:b/>
      <w:sz w:val="24"/>
      <w:szCs w:val="28"/>
      <w:lang w:val="en-US"/>
    </w:rPr>
  </w:style>
  <w:style w:type="character" w:customStyle="1" w:styleId="SubtitleChar">
    <w:name w:val="Subtitle Char"/>
    <w:basedOn w:val="DefaultParagraphFont"/>
    <w:link w:val="Subtitle"/>
    <w:uiPriority w:val="99"/>
    <w:locked/>
    <w:rsid w:val="00A04E71"/>
    <w:rPr>
      <w:b/>
      <w:sz w:val="28"/>
    </w:rPr>
  </w:style>
  <w:style w:type="paragraph" w:customStyle="1" w:styleId="xl24">
    <w:name w:val="xl24"/>
    <w:basedOn w:val="Normal"/>
    <w:uiPriority w:val="99"/>
    <w:rsid w:val="00A04E71"/>
    <w:pPr>
      <w:spacing w:before="100" w:after="100"/>
    </w:pPr>
    <w:rPr>
      <w:rFonts w:ascii="Arial Unicode MS" w:eastAsia="Arial Unicode MS" w:hAnsi="Arial Unicode MS"/>
      <w:sz w:val="16"/>
    </w:rPr>
  </w:style>
  <w:style w:type="paragraph" w:customStyle="1" w:styleId="Default">
    <w:name w:val="Default"/>
    <w:uiPriority w:val="99"/>
    <w:rsid w:val="00A04E71"/>
    <w:pPr>
      <w:autoSpaceDE w:val="0"/>
      <w:autoSpaceDN w:val="0"/>
      <w:adjustRightInd w:val="0"/>
    </w:pPr>
    <w:rPr>
      <w:color w:val="000000"/>
      <w:sz w:val="24"/>
      <w:szCs w:val="24"/>
    </w:rPr>
  </w:style>
  <w:style w:type="character" w:styleId="Hyperlink">
    <w:name w:val="Hyperlink"/>
    <w:basedOn w:val="DefaultParagraphFont"/>
    <w:uiPriority w:val="99"/>
    <w:rsid w:val="00A04E71"/>
    <w:rPr>
      <w:rFonts w:cs="Times New Roman"/>
      <w:color w:val="0000FF"/>
      <w:u w:val="single"/>
    </w:rPr>
  </w:style>
  <w:style w:type="paragraph" w:styleId="CommentSubject">
    <w:name w:val="annotation subject"/>
    <w:basedOn w:val="CommentText"/>
    <w:next w:val="CommentText"/>
    <w:link w:val="CommentSubjectChar"/>
    <w:uiPriority w:val="99"/>
    <w:rsid w:val="00A04E71"/>
    <w:pPr>
      <w:widowControl/>
    </w:pPr>
    <w:rPr>
      <w:b/>
      <w:bCs/>
    </w:rPr>
  </w:style>
  <w:style w:type="character" w:customStyle="1" w:styleId="CommentSubjectChar">
    <w:name w:val="Comment Subject Char"/>
    <w:basedOn w:val="CommentTextChar"/>
    <w:link w:val="CommentSubject"/>
    <w:uiPriority w:val="99"/>
    <w:locked/>
    <w:rsid w:val="00A04E71"/>
    <w:rPr>
      <w:b/>
      <w:snapToGrid w:val="0"/>
      <w:sz w:val="24"/>
    </w:rPr>
  </w:style>
  <w:style w:type="paragraph" w:styleId="BalloonText">
    <w:name w:val="Balloon Text"/>
    <w:basedOn w:val="Normal"/>
    <w:link w:val="BalloonTextChar"/>
    <w:uiPriority w:val="99"/>
    <w:rsid w:val="00A04E71"/>
    <w:rPr>
      <w:rFonts w:ascii="Tahoma" w:hAnsi="Tahoma"/>
      <w:sz w:val="16"/>
      <w:szCs w:val="16"/>
      <w:lang w:val="en-US"/>
    </w:rPr>
  </w:style>
  <w:style w:type="character" w:customStyle="1" w:styleId="BalloonTextChar">
    <w:name w:val="Balloon Text Char"/>
    <w:basedOn w:val="DefaultParagraphFont"/>
    <w:link w:val="BalloonText"/>
    <w:uiPriority w:val="99"/>
    <w:locked/>
    <w:rsid w:val="00A04E71"/>
    <w:rPr>
      <w:rFonts w:ascii="Tahoma" w:hAnsi="Tahoma"/>
      <w:sz w:val="16"/>
    </w:rPr>
  </w:style>
  <w:style w:type="paragraph" w:styleId="EndnoteText">
    <w:name w:val="endnote text"/>
    <w:basedOn w:val="Normal"/>
    <w:link w:val="EndnoteTextChar"/>
    <w:uiPriority w:val="99"/>
    <w:rsid w:val="00A04E71"/>
  </w:style>
  <w:style w:type="character" w:customStyle="1" w:styleId="EndnoteTextChar">
    <w:name w:val="Endnote Text Char"/>
    <w:basedOn w:val="DefaultParagraphFont"/>
    <w:link w:val="EndnoteText"/>
    <w:uiPriority w:val="99"/>
    <w:locked/>
    <w:rsid w:val="00A04E71"/>
    <w:rPr>
      <w:rFonts w:cs="Times New Roman"/>
    </w:rPr>
  </w:style>
  <w:style w:type="character" w:styleId="EndnoteReference">
    <w:name w:val="endnote reference"/>
    <w:basedOn w:val="DefaultParagraphFont"/>
    <w:uiPriority w:val="99"/>
    <w:rsid w:val="00A04E71"/>
    <w:rPr>
      <w:rFonts w:cs="Times New Roman"/>
      <w:vertAlign w:val="superscript"/>
    </w:rPr>
  </w:style>
  <w:style w:type="character" w:customStyle="1" w:styleId="ti">
    <w:name w:val="ti"/>
    <w:uiPriority w:val="99"/>
    <w:rsid w:val="00A04E71"/>
  </w:style>
  <w:style w:type="table" w:styleId="TableGrid">
    <w:name w:val="Table Grid"/>
    <w:basedOn w:val="TableNormal"/>
    <w:uiPriority w:val="99"/>
    <w:rsid w:val="00A04E7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04E71"/>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A0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locked/>
    <w:rsid w:val="00A04E71"/>
    <w:rPr>
      <w:rFonts w:ascii="Courier New" w:hAnsi="Courier New"/>
    </w:rPr>
  </w:style>
  <w:style w:type="paragraph" w:styleId="NoSpacing">
    <w:name w:val="No Spacing"/>
    <w:link w:val="NoSpacingChar"/>
    <w:uiPriority w:val="99"/>
    <w:qFormat/>
    <w:rsid w:val="00A04E71"/>
    <w:rPr>
      <w:rFonts w:ascii="Calibri" w:hAnsi="Calibri"/>
    </w:rPr>
  </w:style>
  <w:style w:type="character" w:styleId="Emphasis">
    <w:name w:val="Emphasis"/>
    <w:basedOn w:val="DefaultParagraphFont"/>
    <w:uiPriority w:val="99"/>
    <w:qFormat/>
    <w:rsid w:val="00A04E71"/>
    <w:rPr>
      <w:rFonts w:cs="Times New Roman"/>
      <w:i/>
    </w:rPr>
  </w:style>
  <w:style w:type="character" w:customStyle="1" w:styleId="reportbody1">
    <w:name w:val="reportbody1"/>
    <w:uiPriority w:val="99"/>
    <w:rsid w:val="00A04E71"/>
    <w:rPr>
      <w:rFonts w:ascii="Tahoma" w:hAnsi="Tahoma"/>
      <w:color w:val="000000"/>
      <w:sz w:val="11"/>
    </w:rPr>
  </w:style>
  <w:style w:type="paragraph" w:customStyle="1" w:styleId="MediumGrid1-Accent21">
    <w:name w:val="Medium Grid 1 - Accent 21"/>
    <w:basedOn w:val="Normal"/>
    <w:uiPriority w:val="99"/>
    <w:rsid w:val="00A04E71"/>
    <w:pPr>
      <w:spacing w:after="200" w:line="276" w:lineRule="auto"/>
      <w:ind w:left="720"/>
      <w:contextualSpacing/>
    </w:pPr>
    <w:rPr>
      <w:rFonts w:ascii="Calibri" w:hAnsi="Calibri"/>
      <w:sz w:val="22"/>
      <w:szCs w:val="22"/>
    </w:rPr>
  </w:style>
  <w:style w:type="paragraph" w:styleId="List">
    <w:name w:val="List"/>
    <w:basedOn w:val="Normal"/>
    <w:uiPriority w:val="99"/>
    <w:rsid w:val="00A04E71"/>
    <w:pPr>
      <w:ind w:left="360" w:hanging="360"/>
    </w:pPr>
    <w:rPr>
      <w:szCs w:val="24"/>
    </w:rPr>
  </w:style>
  <w:style w:type="character" w:customStyle="1" w:styleId="A11">
    <w:name w:val="A11"/>
    <w:uiPriority w:val="99"/>
    <w:rsid w:val="00A04E71"/>
    <w:rPr>
      <w:color w:val="000000"/>
      <w:sz w:val="20"/>
    </w:rPr>
  </w:style>
  <w:style w:type="paragraph" w:customStyle="1" w:styleId="qHeadText">
    <w:name w:val="qHeadText"/>
    <w:basedOn w:val="Normal"/>
    <w:uiPriority w:val="99"/>
    <w:rsid w:val="00A04E71"/>
    <w:rPr>
      <w:i/>
      <w:sz w:val="22"/>
      <w:szCs w:val="24"/>
      <w:lang w:eastAsia="zh-CN"/>
    </w:rPr>
  </w:style>
  <w:style w:type="paragraph" w:customStyle="1" w:styleId="default0">
    <w:name w:val="default"/>
    <w:basedOn w:val="Normal"/>
    <w:uiPriority w:val="99"/>
    <w:rsid w:val="00A04E71"/>
    <w:pPr>
      <w:spacing w:before="100" w:beforeAutospacing="1" w:after="100" w:afterAutospacing="1"/>
    </w:pPr>
    <w:rPr>
      <w:szCs w:val="24"/>
    </w:rPr>
  </w:style>
  <w:style w:type="character" w:styleId="FollowedHyperlink">
    <w:name w:val="FollowedHyperlink"/>
    <w:basedOn w:val="DefaultParagraphFont"/>
    <w:uiPriority w:val="99"/>
    <w:rsid w:val="00271597"/>
    <w:rPr>
      <w:rFonts w:cs="Times New Roman"/>
      <w:color w:val="800080"/>
      <w:u w:val="single"/>
    </w:rPr>
  </w:style>
  <w:style w:type="paragraph" w:customStyle="1" w:styleId="DualTxt">
    <w:name w:val="__Dual Txt"/>
    <w:basedOn w:val="Normal"/>
    <w:uiPriority w:val="99"/>
    <w:rsid w:val="001E5F50"/>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uiPriority w:val="99"/>
    <w:rsid w:val="00854DB0"/>
  </w:style>
  <w:style w:type="paragraph" w:customStyle="1" w:styleId="Subtitle1">
    <w:name w:val="Subtitle1"/>
    <w:uiPriority w:val="99"/>
    <w:rsid w:val="005719DB"/>
    <w:pPr>
      <w:jc w:val="center"/>
    </w:pPr>
    <w:rPr>
      <w:rFonts w:ascii="Times New Roman Bold" w:eastAsia="ヒラギノ角ゴ Pro W3" w:hAnsi="Times New Roman Bold"/>
      <w:color w:val="000000"/>
      <w:sz w:val="24"/>
      <w:szCs w:val="20"/>
    </w:rPr>
  </w:style>
  <w:style w:type="paragraph" w:customStyle="1" w:styleId="H23">
    <w:name w:val="_ H_2/3"/>
    <w:basedOn w:val="Normal"/>
    <w:next w:val="Normal"/>
    <w:uiPriority w:val="99"/>
    <w:rsid w:val="00376817"/>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99"/>
    <w:qFormat/>
    <w:rsid w:val="00207D1B"/>
    <w:pPr>
      <w:keepLines/>
      <w:numPr>
        <w:numId w:val="0"/>
      </w:numPr>
      <w:tabs>
        <w:tab w:val="clear" w:pos="1080"/>
      </w:tabs>
      <w:spacing w:before="480" w:line="276" w:lineRule="auto"/>
      <w:outlineLvl w:val="9"/>
    </w:pPr>
    <w:rPr>
      <w:rFonts w:ascii="Cambria" w:eastAsia="MS Gothic" w:hAnsi="Cambria"/>
      <w:bCs/>
      <w:color w:val="365F91"/>
      <w:szCs w:val="28"/>
      <w:lang w:eastAsia="ja-JP"/>
    </w:rPr>
  </w:style>
  <w:style w:type="character" w:customStyle="1" w:styleId="ListParagraphChar">
    <w:name w:val="List Paragraph Char"/>
    <w:link w:val="ListParagraph"/>
    <w:uiPriority w:val="99"/>
    <w:locked/>
    <w:rsid w:val="00C85084"/>
    <w:rPr>
      <w:rFonts w:eastAsia="Times New Roman"/>
      <w:sz w:val="22"/>
      <w:lang w:val="en-GB"/>
    </w:rPr>
  </w:style>
  <w:style w:type="table" w:customStyle="1" w:styleId="TableGrid1">
    <w:name w:val="Table Grid1"/>
    <w:uiPriority w:val="99"/>
    <w:rsid w:val="00DB4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4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959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465EE5"/>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5232">
      <w:marLeft w:val="0"/>
      <w:marRight w:val="0"/>
      <w:marTop w:val="0"/>
      <w:marBottom w:val="0"/>
      <w:divBdr>
        <w:top w:val="none" w:sz="0" w:space="0" w:color="auto"/>
        <w:left w:val="none" w:sz="0" w:space="0" w:color="auto"/>
        <w:bottom w:val="none" w:sz="0" w:space="0" w:color="auto"/>
        <w:right w:val="none" w:sz="0" w:space="0" w:color="auto"/>
      </w:divBdr>
    </w:div>
    <w:div w:id="210115233">
      <w:marLeft w:val="0"/>
      <w:marRight w:val="0"/>
      <w:marTop w:val="0"/>
      <w:marBottom w:val="0"/>
      <w:divBdr>
        <w:top w:val="none" w:sz="0" w:space="0" w:color="auto"/>
        <w:left w:val="none" w:sz="0" w:space="0" w:color="auto"/>
        <w:bottom w:val="none" w:sz="0" w:space="0" w:color="auto"/>
        <w:right w:val="none" w:sz="0" w:space="0" w:color="auto"/>
      </w:divBdr>
      <w:divsChild>
        <w:div w:id="210115230">
          <w:marLeft w:val="1354"/>
          <w:marRight w:val="0"/>
          <w:marTop w:val="96"/>
          <w:marBottom w:val="0"/>
          <w:divBdr>
            <w:top w:val="none" w:sz="0" w:space="0" w:color="auto"/>
            <w:left w:val="none" w:sz="0" w:space="0" w:color="auto"/>
            <w:bottom w:val="none" w:sz="0" w:space="0" w:color="auto"/>
            <w:right w:val="none" w:sz="0" w:space="0" w:color="auto"/>
          </w:divBdr>
        </w:div>
        <w:div w:id="210115231">
          <w:marLeft w:val="1354"/>
          <w:marRight w:val="0"/>
          <w:marTop w:val="96"/>
          <w:marBottom w:val="0"/>
          <w:divBdr>
            <w:top w:val="none" w:sz="0" w:space="0" w:color="auto"/>
            <w:left w:val="none" w:sz="0" w:space="0" w:color="auto"/>
            <w:bottom w:val="none" w:sz="0" w:space="0" w:color="auto"/>
            <w:right w:val="none" w:sz="0" w:space="0" w:color="auto"/>
          </w:divBdr>
        </w:div>
        <w:div w:id="210115235">
          <w:marLeft w:val="1354"/>
          <w:marRight w:val="0"/>
          <w:marTop w:val="96"/>
          <w:marBottom w:val="0"/>
          <w:divBdr>
            <w:top w:val="none" w:sz="0" w:space="0" w:color="auto"/>
            <w:left w:val="none" w:sz="0" w:space="0" w:color="auto"/>
            <w:bottom w:val="none" w:sz="0" w:space="0" w:color="auto"/>
            <w:right w:val="none" w:sz="0" w:space="0" w:color="auto"/>
          </w:divBdr>
        </w:div>
      </w:divsChild>
    </w:div>
    <w:div w:id="210115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unicefstories.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unicefinnovation.org/"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14021</Words>
  <Characters>79923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UNITED</vt:lpstr>
    </vt:vector>
  </TitlesOfParts>
  <Company>TYPEX Multilanguage (631) 598-0554</Company>
  <LinksUpToDate>false</LinksUpToDate>
  <CharactersWithSpaces>93757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UNFPA</dc:creator>
  <cp:lastModifiedBy>Elisabeth Gueye</cp:lastModifiedBy>
  <cp:revision>2</cp:revision>
  <cp:lastPrinted>2013-08-12T01:50:00Z</cp:lastPrinted>
  <dcterms:created xsi:type="dcterms:W3CDTF">2013-10-03T21:04:00Z</dcterms:created>
  <dcterms:modified xsi:type="dcterms:W3CDTF">2013-10-03T21:04:00Z</dcterms:modified>
</cp:coreProperties>
</file>